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C9300" w14:textId="299C13D4" w:rsidR="00E277C7" w:rsidRPr="003F310F" w:rsidRDefault="00E277C7" w:rsidP="00E277C7">
      <w:pPr>
        <w:widowControl w:val="0"/>
        <w:ind w:firstLineChars="0" w:firstLine="0"/>
        <w:outlineLvl w:val="0"/>
        <w:rPr>
          <w:rFonts w:ascii="黑体" w:eastAsia="黑体" w:hAnsi="黑体" w:hint="eastAsia"/>
        </w:rPr>
      </w:pPr>
      <w:r w:rsidRPr="003F310F">
        <w:rPr>
          <w:rFonts w:ascii="黑体" w:eastAsia="黑体" w:hAnsi="黑体" w:hint="eastAsia"/>
        </w:rPr>
        <w:t>附件</w:t>
      </w:r>
      <w:r>
        <w:rPr>
          <w:rFonts w:ascii="黑体" w:eastAsia="黑体" w:hAnsi="黑体" w:hint="eastAsia"/>
        </w:rPr>
        <w:t>3</w:t>
      </w:r>
    </w:p>
    <w:p w14:paraId="53802AA9" w14:textId="77777777" w:rsidR="00E277C7" w:rsidRDefault="00E277C7" w:rsidP="00E277C7">
      <w:pPr>
        <w:widowControl w:val="0"/>
        <w:ind w:firstLine="640"/>
        <w:rPr>
          <w:rFonts w:hint="eastAsia"/>
        </w:rPr>
      </w:pPr>
    </w:p>
    <w:p w14:paraId="76F1700E" w14:textId="09FBCE22" w:rsidR="00E277C7" w:rsidRPr="00ED5C76" w:rsidRDefault="00E277C7" w:rsidP="00E277C7">
      <w:pPr>
        <w:widowControl w:val="0"/>
        <w:ind w:firstLineChars="0" w:firstLine="0"/>
        <w:jc w:val="center"/>
        <w:outlineLvl w:val="0"/>
        <w:rPr>
          <w:rFonts w:ascii="方正小标宋简体" w:eastAsia="方正小标宋简体" w:hint="eastAsia"/>
          <w:sz w:val="40"/>
          <w:szCs w:val="28"/>
        </w:rPr>
      </w:pPr>
      <w:r>
        <w:rPr>
          <w:rFonts w:ascii="方正小标宋简体" w:eastAsia="方正小标宋简体" w:hint="eastAsia"/>
          <w:sz w:val="40"/>
          <w:szCs w:val="28"/>
        </w:rPr>
        <w:t>案例</w:t>
      </w:r>
      <w:r w:rsidRPr="00ED5C76">
        <w:rPr>
          <w:rFonts w:ascii="方正小标宋简体" w:eastAsia="方正小标宋简体" w:hint="eastAsia"/>
          <w:sz w:val="40"/>
          <w:szCs w:val="28"/>
        </w:rPr>
        <w:t>类赛题示例</w:t>
      </w:r>
    </w:p>
    <w:p w14:paraId="65C6A5FD" w14:textId="77777777" w:rsidR="00E277C7" w:rsidRDefault="00E277C7">
      <w:pPr>
        <w:ind w:firstLine="640"/>
        <w:rPr>
          <w:rFonts w:ascii="黑体" w:eastAsia="黑体" w:hAnsi="黑体" w:hint="eastAsia"/>
        </w:rPr>
      </w:pPr>
    </w:p>
    <w:p w14:paraId="402C0034" w14:textId="77777777" w:rsidR="00E277C7" w:rsidRPr="00E277C7" w:rsidRDefault="00E277C7" w:rsidP="003B4E1A">
      <w:pPr>
        <w:ind w:firstLine="640"/>
        <w:outlineLvl w:val="1"/>
        <w:rPr>
          <w:rFonts w:ascii="黑体" w:eastAsia="黑体" w:hAnsi="黑体" w:hint="eastAsia"/>
        </w:rPr>
      </w:pPr>
      <w:r w:rsidRPr="00E277C7">
        <w:rPr>
          <w:rFonts w:ascii="黑体" w:eastAsia="黑体" w:hAnsi="黑体" w:hint="eastAsia"/>
        </w:rPr>
        <w:t>赛道</w:t>
      </w:r>
      <w:proofErr w:type="gramStart"/>
      <w:r w:rsidRPr="00E277C7">
        <w:rPr>
          <w:rFonts w:ascii="黑体" w:eastAsia="黑体" w:hAnsi="黑体" w:hint="eastAsia"/>
        </w:rPr>
        <w:t>一</w:t>
      </w:r>
      <w:proofErr w:type="gramEnd"/>
      <w:r w:rsidRPr="00E277C7">
        <w:rPr>
          <w:rFonts w:ascii="黑体" w:eastAsia="黑体" w:hAnsi="黑体" w:hint="eastAsia"/>
        </w:rPr>
        <w:t>：数据要素×工业制造领域赛题指南</w:t>
      </w:r>
    </w:p>
    <w:p w14:paraId="7310B12A"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一、提升创新研发能力，推动制造高端化发展</w:t>
      </w:r>
    </w:p>
    <w:p w14:paraId="07B19C8D" w14:textId="45E956C5" w:rsidR="00E277C7" w:rsidRPr="00E277C7" w:rsidRDefault="00E277C7" w:rsidP="00E277C7">
      <w:pPr>
        <w:ind w:firstLine="640"/>
        <w:rPr>
          <w:rFonts w:hAnsi="黑体" w:hint="eastAsia"/>
        </w:rPr>
      </w:pPr>
      <w:r w:rsidRPr="00E277C7">
        <w:rPr>
          <w:rFonts w:hAnsi="黑体" w:hint="eastAsia"/>
        </w:rPr>
        <w:t>数据驱动型创新研发模式，基于设计、仿真、实验、生产、运行等多维</w:t>
      </w:r>
      <w:proofErr w:type="gramStart"/>
      <w:r w:rsidRPr="00E277C7">
        <w:rPr>
          <w:rFonts w:hAnsi="黑体" w:hint="eastAsia"/>
        </w:rPr>
        <w:t>度数据</w:t>
      </w:r>
      <w:proofErr w:type="gramEnd"/>
      <w:r w:rsidRPr="00E277C7">
        <w:rPr>
          <w:rFonts w:hAnsi="黑体" w:hint="eastAsia"/>
        </w:rPr>
        <w:t>实现产品研发和工艺创新，推动制造高端化发展。</w:t>
      </w:r>
    </w:p>
    <w:p w14:paraId="43CF8CE9"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二、提高工业制造决策科学性，降本提质增效</w:t>
      </w:r>
    </w:p>
    <w:p w14:paraId="56E6A825" w14:textId="18C01443" w:rsidR="00E277C7" w:rsidRPr="00E277C7" w:rsidRDefault="00E277C7" w:rsidP="00E277C7">
      <w:pPr>
        <w:ind w:firstLine="640"/>
        <w:rPr>
          <w:rFonts w:hAnsi="黑体" w:hint="eastAsia"/>
        </w:rPr>
      </w:pPr>
      <w:r w:rsidRPr="00E277C7">
        <w:rPr>
          <w:rFonts w:hAnsi="黑体" w:hint="eastAsia"/>
        </w:rPr>
        <w:t>完善数据采集、管理、分析和利用，在生产制造和企业运营主要过程采用基于数据的科学决策，实现降低成本、提高质量、效益提升的多重目标。</w:t>
      </w:r>
    </w:p>
    <w:p w14:paraId="69CD86FB"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三、提升服务型制造能力，增强用户满意度</w:t>
      </w:r>
    </w:p>
    <w:p w14:paraId="2A3D5CD4" w14:textId="7F57DAD5" w:rsidR="00E277C7" w:rsidRPr="00E277C7" w:rsidRDefault="00E277C7" w:rsidP="00E277C7">
      <w:pPr>
        <w:ind w:firstLine="640"/>
        <w:rPr>
          <w:rFonts w:hAnsi="黑体" w:hint="eastAsia"/>
        </w:rPr>
      </w:pPr>
      <w:r w:rsidRPr="00E277C7">
        <w:rPr>
          <w:rFonts w:hAnsi="黑体" w:hint="eastAsia"/>
        </w:rPr>
        <w:t>加强产品全生命周期数据采集，整合设计、生产、运行数据，增强</w:t>
      </w:r>
      <w:proofErr w:type="gramStart"/>
      <w:r w:rsidRPr="00E277C7">
        <w:rPr>
          <w:rFonts w:hAnsi="黑体" w:hint="eastAsia"/>
        </w:rPr>
        <w:t>高端化</w:t>
      </w:r>
      <w:proofErr w:type="gramEnd"/>
      <w:r w:rsidRPr="00E277C7">
        <w:rPr>
          <w:rFonts w:hAnsi="黑体" w:hint="eastAsia"/>
        </w:rPr>
        <w:t>生产性服务能力，提升产品可靠性和运行性能，增强产品用户满意度。</w:t>
      </w:r>
    </w:p>
    <w:p w14:paraId="0F1EFD12"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四、稳固产业</w:t>
      </w:r>
      <w:proofErr w:type="gramStart"/>
      <w:r w:rsidRPr="00E277C7">
        <w:rPr>
          <w:rFonts w:ascii="黑体" w:eastAsia="黑体" w:hAnsi="黑体" w:hint="eastAsia"/>
        </w:rPr>
        <w:t>链供应</w:t>
      </w:r>
      <w:proofErr w:type="gramEnd"/>
      <w:r w:rsidRPr="00E277C7">
        <w:rPr>
          <w:rFonts w:ascii="黑体" w:eastAsia="黑体" w:hAnsi="黑体" w:hint="eastAsia"/>
        </w:rPr>
        <w:t>链，强化价值协同</w:t>
      </w:r>
    </w:p>
    <w:p w14:paraId="034F7C9A" w14:textId="3EDF68F2" w:rsidR="00E277C7" w:rsidRPr="00E277C7" w:rsidRDefault="00E277C7" w:rsidP="00E277C7">
      <w:pPr>
        <w:ind w:firstLine="640"/>
        <w:rPr>
          <w:rFonts w:hAnsi="黑体" w:hint="eastAsia"/>
        </w:rPr>
      </w:pPr>
      <w:r w:rsidRPr="00E277C7">
        <w:rPr>
          <w:rFonts w:hAnsi="黑体" w:hint="eastAsia"/>
        </w:rPr>
        <w:t>促进产能、采购、库存、物流等不同制造环节，以及供应链上下游等数据共享和可信流通，探索协同设计、协同制造、协同服务等新模式，提高区域间制造资源配置效率，提升产业链、供应链稳定性。</w:t>
      </w:r>
    </w:p>
    <w:p w14:paraId="1B6BBEF8"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lastRenderedPageBreak/>
        <w:t>五、探索数据跨主体协同利用机制</w:t>
      </w:r>
    </w:p>
    <w:p w14:paraId="0E02A9C8" w14:textId="32364AB4" w:rsidR="00E277C7" w:rsidRPr="00E277C7" w:rsidRDefault="00E277C7" w:rsidP="00E277C7">
      <w:pPr>
        <w:ind w:firstLine="640"/>
        <w:rPr>
          <w:rFonts w:hAnsi="黑体" w:hint="eastAsia"/>
        </w:rPr>
      </w:pPr>
      <w:r w:rsidRPr="00E277C7">
        <w:rPr>
          <w:rFonts w:hAnsi="黑体" w:hint="eastAsia"/>
        </w:rPr>
        <w:t>鼓励企业间建立公平互惠互利的流通规则制度，探索可信数据空间、隐私计算等技术手段，完善数据治理体系，提高数据资源质量，创新流通规则机制，促进数据在组织内部不同部门及组织内外更大范围流通和协同利用。</w:t>
      </w:r>
    </w:p>
    <w:p w14:paraId="1738176E"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六、工业领域高质量数据集建设</w:t>
      </w:r>
    </w:p>
    <w:p w14:paraId="3605A474" w14:textId="7B59353B" w:rsidR="00E277C7" w:rsidRPr="00E277C7" w:rsidRDefault="00E277C7" w:rsidP="00E277C7">
      <w:pPr>
        <w:ind w:firstLine="640"/>
        <w:rPr>
          <w:rFonts w:hAnsi="黑体" w:hint="eastAsia"/>
        </w:rPr>
      </w:pPr>
      <w:r w:rsidRPr="00E277C7">
        <w:rPr>
          <w:rFonts w:hAnsi="黑体" w:hint="eastAsia"/>
        </w:rPr>
        <w:t>聚焦新材料、机械、电子、汽车等行业，围绕基础零部件、核心基础元器件、关键基础材料、整机装备与系统，打造来源主体丰富、数据标注准确、应用成效突出的高质量数据集，支撑人工智能和大模型在工业及更多行业应用。</w:t>
      </w:r>
    </w:p>
    <w:p w14:paraId="32F7D0BD" w14:textId="77777777" w:rsidR="00E277C7" w:rsidRPr="00E277C7" w:rsidRDefault="00E277C7" w:rsidP="003B4E1A">
      <w:pPr>
        <w:ind w:firstLine="640"/>
        <w:outlineLvl w:val="1"/>
        <w:rPr>
          <w:rFonts w:ascii="黑体" w:eastAsia="黑体" w:hAnsi="黑体" w:hint="eastAsia"/>
        </w:rPr>
      </w:pPr>
      <w:r w:rsidRPr="00E277C7">
        <w:rPr>
          <w:rFonts w:ascii="黑体" w:eastAsia="黑体" w:hAnsi="黑体" w:hint="eastAsia"/>
        </w:rPr>
        <w:t>赛道二：数据要素×现代农业领域赛题指南</w:t>
      </w:r>
    </w:p>
    <w:p w14:paraId="680FA1D3"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一、促进农业</w:t>
      </w:r>
      <w:proofErr w:type="gramStart"/>
      <w:r w:rsidRPr="00E277C7">
        <w:rPr>
          <w:rFonts w:ascii="黑体" w:eastAsia="黑体" w:hAnsi="黑体" w:hint="eastAsia"/>
        </w:rPr>
        <w:t>生产数智化</w:t>
      </w:r>
      <w:proofErr w:type="gramEnd"/>
      <w:r w:rsidRPr="00E277C7">
        <w:rPr>
          <w:rFonts w:ascii="黑体" w:eastAsia="黑体" w:hAnsi="黑体" w:hint="eastAsia"/>
        </w:rPr>
        <w:t>水平提升</w:t>
      </w:r>
    </w:p>
    <w:p w14:paraId="33266CE3" w14:textId="5ECE27CA" w:rsidR="00E277C7" w:rsidRPr="00E277C7" w:rsidRDefault="00E277C7" w:rsidP="00E277C7">
      <w:pPr>
        <w:ind w:firstLine="640"/>
        <w:rPr>
          <w:rFonts w:hAnsi="黑体" w:hint="eastAsia"/>
        </w:rPr>
      </w:pPr>
      <w:r w:rsidRPr="00E277C7">
        <w:rPr>
          <w:rFonts w:hAnsi="黑体" w:hint="eastAsia"/>
        </w:rPr>
        <w:t>通过融合利用北斗导航、遥感、气象、土壤、农事作业、农情监测、灾害、农作物病虫害、动物疫病、市场、近海捕捞生产等各类数据，促进</w:t>
      </w:r>
      <w:proofErr w:type="gramStart"/>
      <w:r w:rsidRPr="00E277C7">
        <w:rPr>
          <w:rFonts w:hAnsi="黑体" w:hint="eastAsia"/>
        </w:rPr>
        <w:t>数智技术</w:t>
      </w:r>
      <w:proofErr w:type="gramEnd"/>
      <w:r w:rsidRPr="00E277C7">
        <w:rPr>
          <w:rFonts w:hAnsi="黑体" w:hint="eastAsia"/>
        </w:rPr>
        <w:t>与农业生产技术和装备的集成应用，为农业生产管理、生产经营主体和相关服务企业提供农业</w:t>
      </w:r>
      <w:proofErr w:type="gramStart"/>
      <w:r w:rsidRPr="00E277C7">
        <w:rPr>
          <w:rFonts w:hAnsi="黑体" w:hint="eastAsia"/>
        </w:rPr>
        <w:t>生产数智化</w:t>
      </w:r>
      <w:proofErr w:type="gramEnd"/>
      <w:r w:rsidRPr="00E277C7">
        <w:rPr>
          <w:rFonts w:hAnsi="黑体" w:hint="eastAsia"/>
        </w:rPr>
        <w:t>场景支撑，提高粮食和重要农产品生产效率。</w:t>
      </w:r>
    </w:p>
    <w:p w14:paraId="642C19A1"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二、推动农机作业服务提质增效降本</w:t>
      </w:r>
    </w:p>
    <w:p w14:paraId="1AEE74C1" w14:textId="2FCB96A8" w:rsidR="00E277C7" w:rsidRPr="00E277C7" w:rsidRDefault="00E277C7" w:rsidP="00E277C7">
      <w:pPr>
        <w:ind w:firstLine="640"/>
        <w:rPr>
          <w:rFonts w:hAnsi="黑体" w:hint="eastAsia"/>
        </w:rPr>
      </w:pPr>
      <w:r w:rsidRPr="00E277C7">
        <w:rPr>
          <w:rFonts w:hAnsi="黑体" w:hint="eastAsia"/>
        </w:rPr>
        <w:t>在农业生产环节，通过融合利用物联网、大数据、人工智能等技术和农机作业、农情、天气等各类数据，辅助农机化生产管理决策，为农业生产经营主体和相关服务企业</w:t>
      </w:r>
      <w:proofErr w:type="gramStart"/>
      <w:r w:rsidRPr="00E277C7">
        <w:rPr>
          <w:rFonts w:hAnsi="黑体" w:hint="eastAsia"/>
        </w:rPr>
        <w:t>提供数智化</w:t>
      </w:r>
      <w:proofErr w:type="gramEnd"/>
      <w:r w:rsidRPr="00E277C7">
        <w:rPr>
          <w:rFonts w:hAnsi="黑体" w:hint="eastAsia"/>
        </w:rPr>
        <w:t>场景支撑，推动农机作业服务提质增效降本促进智能农机装备</w:t>
      </w:r>
      <w:r w:rsidRPr="00E277C7">
        <w:rPr>
          <w:rFonts w:hAnsi="黑体" w:hint="eastAsia"/>
        </w:rPr>
        <w:lastRenderedPageBreak/>
        <w:t>应用生产实践一线，促进农业产前、产中、产后数据融合应用，提升农业生产过程智能化、数字化水平，推动农业生产现代化。</w:t>
      </w:r>
    </w:p>
    <w:p w14:paraId="4901C2EA"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三、促进农产品追溯管理能力提高</w:t>
      </w:r>
    </w:p>
    <w:p w14:paraId="2B3FC813" w14:textId="3B7BAA8E" w:rsidR="00E277C7" w:rsidRPr="00E277C7" w:rsidRDefault="00E277C7" w:rsidP="00E277C7">
      <w:pPr>
        <w:ind w:firstLine="640"/>
        <w:rPr>
          <w:rFonts w:hAnsi="黑体" w:hint="eastAsia"/>
        </w:rPr>
      </w:pPr>
      <w:r w:rsidRPr="00E277C7">
        <w:rPr>
          <w:rFonts w:hAnsi="黑体" w:hint="eastAsia"/>
        </w:rPr>
        <w:t>设计出一套完整的品牌农产品信息化追溯方案，包括但不限于:数据采集与存储方案，追溯环节中时间位置与设备戳的技术实现，数据模型的核心算法，解决造假和信息不符问题的防控机制，面向消费者的可视化展示模块聚焦品牌农产品供应链的核心环节和指标，通过信息化手段确保追溯信息的准确性和真实性，实现从生产到销售全过程中的年份、产地、品种、品质、生产方式、农残水平、加工过程、运输方式、销售渠道、包装防伪工艺等关键信息的全面追溯。</w:t>
      </w:r>
    </w:p>
    <w:p w14:paraId="48EB459D"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四、促进产业</w:t>
      </w:r>
      <w:proofErr w:type="gramStart"/>
      <w:r w:rsidRPr="00E277C7">
        <w:rPr>
          <w:rFonts w:ascii="黑体" w:eastAsia="黑体" w:hAnsi="黑体" w:hint="eastAsia"/>
        </w:rPr>
        <w:t>链数据</w:t>
      </w:r>
      <w:proofErr w:type="gramEnd"/>
      <w:r w:rsidRPr="00E277C7">
        <w:rPr>
          <w:rFonts w:ascii="黑体" w:eastAsia="黑体" w:hAnsi="黑体" w:hint="eastAsia"/>
        </w:rPr>
        <w:t>融通创新能力提高</w:t>
      </w:r>
    </w:p>
    <w:p w14:paraId="32341822" w14:textId="5D8DC392" w:rsidR="00E277C7" w:rsidRPr="00E277C7" w:rsidRDefault="00E277C7" w:rsidP="00E277C7">
      <w:pPr>
        <w:ind w:firstLine="640"/>
        <w:rPr>
          <w:rFonts w:hAnsi="黑体" w:hint="eastAsia"/>
        </w:rPr>
      </w:pPr>
      <w:r w:rsidRPr="00E277C7">
        <w:rPr>
          <w:rFonts w:hAnsi="黑体" w:hint="eastAsia"/>
        </w:rPr>
        <w:t>通过综合利用农产品生产、销售、加工等数据，为农业生产经营主体提供智慧种养、智慧捕捞、产销对接、疫病防治、行情信息、跨区作业、一站式采购、供应</w:t>
      </w:r>
      <w:proofErr w:type="gramStart"/>
      <w:r w:rsidRPr="00E277C7">
        <w:rPr>
          <w:rFonts w:hAnsi="黑体" w:hint="eastAsia"/>
        </w:rPr>
        <w:t>链金融</w:t>
      </w:r>
      <w:proofErr w:type="gramEnd"/>
      <w:r w:rsidRPr="00E277C7">
        <w:rPr>
          <w:rFonts w:hAnsi="黑体" w:hint="eastAsia"/>
        </w:rPr>
        <w:t>等创新数据和信息服务。</w:t>
      </w:r>
    </w:p>
    <w:p w14:paraId="138E97C3"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五、促进培育以需定产新模式</w:t>
      </w:r>
    </w:p>
    <w:p w14:paraId="16580315" w14:textId="7D56578E" w:rsidR="00E277C7" w:rsidRPr="00E277C7" w:rsidRDefault="00E277C7" w:rsidP="00E277C7">
      <w:pPr>
        <w:ind w:firstLine="640"/>
        <w:rPr>
          <w:rFonts w:hAnsi="黑体" w:hint="eastAsia"/>
        </w:rPr>
      </w:pPr>
      <w:r w:rsidRPr="00E277C7">
        <w:rPr>
          <w:rFonts w:hAnsi="黑体" w:hint="eastAsia"/>
        </w:rPr>
        <w:t>通过有效融合分析应用农业与电商平台、农产品批发市场、商超、物流企业等商贸流通数据，为农业生产经营主体和相关服务企业提供新模式及场景支撑，向农产品生产端、加工端、消费端反馈农产品信息，辅助农业生产决策，促进以需定产。</w:t>
      </w:r>
    </w:p>
    <w:p w14:paraId="497AF520"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六、促进农业生产抗风险能力提高</w:t>
      </w:r>
    </w:p>
    <w:p w14:paraId="586301B6" w14:textId="1B3A07A3" w:rsidR="00E277C7" w:rsidRPr="00E277C7" w:rsidRDefault="00E277C7" w:rsidP="00E277C7">
      <w:pPr>
        <w:ind w:firstLine="640"/>
        <w:rPr>
          <w:rFonts w:hAnsi="黑体" w:hint="eastAsia"/>
        </w:rPr>
      </w:pPr>
      <w:r w:rsidRPr="00E277C7">
        <w:rPr>
          <w:rFonts w:hAnsi="黑体" w:hint="eastAsia"/>
        </w:rPr>
        <w:lastRenderedPageBreak/>
        <w:t>通过综合利用产能、运输、加工、贸易、消费等数据，为农业生产经营主体在粮食、生猪、果蔬等重点领域，提供自然灾害、疫病传播、价格波动等农业监测预警服务。</w:t>
      </w:r>
    </w:p>
    <w:p w14:paraId="69458F76"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七、促进农村土地利用优化与精准服务</w:t>
      </w:r>
    </w:p>
    <w:p w14:paraId="7DA5B1DB" w14:textId="63861380" w:rsidR="00E277C7" w:rsidRPr="00E277C7" w:rsidRDefault="00E277C7" w:rsidP="00E277C7">
      <w:pPr>
        <w:ind w:firstLine="640"/>
        <w:rPr>
          <w:rFonts w:hAnsi="黑体" w:hint="eastAsia"/>
        </w:rPr>
      </w:pPr>
      <w:r w:rsidRPr="00E277C7">
        <w:rPr>
          <w:rFonts w:hAnsi="黑体" w:hint="eastAsia"/>
        </w:rPr>
        <w:t>通过整合土地确权数据、环境数据、人口数据，构建土地利用效率评估模型，针对低效用地提出优化建议。开发可视化决策系统（可基于农业农村大数据平台），为地方政府提供基于数据的土地利用优化方案，支持精准施策。</w:t>
      </w:r>
    </w:p>
    <w:p w14:paraId="58A51DB6"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八、打造智慧乡村治理服务场景</w:t>
      </w:r>
    </w:p>
    <w:p w14:paraId="2D63D236" w14:textId="116F986C" w:rsidR="00E277C7" w:rsidRPr="00E277C7" w:rsidRDefault="00E277C7" w:rsidP="00E277C7">
      <w:pPr>
        <w:ind w:firstLine="640"/>
        <w:rPr>
          <w:rFonts w:hAnsi="黑体" w:hint="eastAsia"/>
        </w:rPr>
      </w:pPr>
      <w:r w:rsidRPr="00E277C7">
        <w:rPr>
          <w:rFonts w:hAnsi="黑体" w:hint="eastAsia"/>
        </w:rPr>
        <w:t>打通人口、基础设施、经济等多维数据，建立乡村治理大数据服务场景模型及解决方案，实现多</w:t>
      </w:r>
      <w:proofErr w:type="gramStart"/>
      <w:r w:rsidRPr="00E277C7">
        <w:rPr>
          <w:rFonts w:hAnsi="黑体" w:hint="eastAsia"/>
        </w:rPr>
        <w:t>源数据</w:t>
      </w:r>
      <w:proofErr w:type="gramEnd"/>
      <w:r w:rsidRPr="00E277C7">
        <w:rPr>
          <w:rFonts w:hAnsi="黑体" w:hint="eastAsia"/>
        </w:rPr>
        <w:t>融合和治理状态实时监测。提供基于数据的政策建议和精准服务方案，提高乡村治理水平。</w:t>
      </w:r>
    </w:p>
    <w:p w14:paraId="69843A08"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九、建设农业农村政策智能问答模型</w:t>
      </w:r>
    </w:p>
    <w:p w14:paraId="1C64F035" w14:textId="439940E5" w:rsidR="00E277C7" w:rsidRPr="00E277C7" w:rsidRDefault="00E277C7" w:rsidP="00E277C7">
      <w:pPr>
        <w:ind w:firstLine="640"/>
        <w:rPr>
          <w:rFonts w:hAnsi="黑体" w:hint="eastAsia"/>
        </w:rPr>
      </w:pPr>
      <w:r w:rsidRPr="00E277C7">
        <w:rPr>
          <w:rFonts w:hAnsi="黑体" w:hint="eastAsia"/>
        </w:rPr>
        <w:t>系统汇集各级各地的农业农村政策，开发文字类大模型，对政策分主题、分地域归集、标记，建立面对农村居民、农业经营主体、公文撰写人员等相关主体的一站</w:t>
      </w:r>
      <w:proofErr w:type="gramStart"/>
      <w:r w:rsidRPr="00E277C7">
        <w:rPr>
          <w:rFonts w:hAnsi="黑体" w:hint="eastAsia"/>
        </w:rPr>
        <w:t>式政策</w:t>
      </w:r>
      <w:proofErr w:type="gramEnd"/>
      <w:r w:rsidRPr="00E277C7">
        <w:rPr>
          <w:rFonts w:hAnsi="黑体" w:hint="eastAsia"/>
        </w:rPr>
        <w:t>咨询平台，方便多场景政策查询和咨询，有效提升农业农村政策的贯彻执行水平。</w:t>
      </w:r>
    </w:p>
    <w:p w14:paraId="675FF519"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十、基于农业数据资源的智能搜索与推荐系统</w:t>
      </w:r>
    </w:p>
    <w:p w14:paraId="4073A7C6" w14:textId="4AD743FF" w:rsidR="00E277C7" w:rsidRPr="00E277C7" w:rsidRDefault="00E277C7" w:rsidP="00E277C7">
      <w:pPr>
        <w:ind w:firstLine="640"/>
        <w:rPr>
          <w:rFonts w:hAnsi="黑体" w:hint="eastAsia"/>
        </w:rPr>
      </w:pPr>
      <w:r w:rsidRPr="00E277C7">
        <w:rPr>
          <w:rFonts w:hAnsi="黑体" w:hint="eastAsia"/>
        </w:rPr>
        <w:t>开发一个集成多源农业数据的智能搜索与推荐系统，能够根据用户需求(如作物种植、气候预测、市场价格等)提供精准</w:t>
      </w:r>
      <w:r w:rsidRPr="00E277C7">
        <w:rPr>
          <w:rFonts w:hAnsi="黑体" w:hint="eastAsia"/>
        </w:rPr>
        <w:lastRenderedPageBreak/>
        <w:t>的数据搜索结果，并通过算法推荐相关数据，以提升农业生产决策的效率和准确性，推动农业数据的有效利用。</w:t>
      </w:r>
    </w:p>
    <w:p w14:paraId="62662486" w14:textId="77777777" w:rsidR="00E277C7" w:rsidRPr="00E277C7" w:rsidRDefault="00E277C7" w:rsidP="003B4E1A">
      <w:pPr>
        <w:ind w:firstLine="640"/>
        <w:outlineLvl w:val="1"/>
        <w:rPr>
          <w:rFonts w:ascii="黑体" w:eastAsia="黑体" w:hAnsi="黑体" w:hint="eastAsia"/>
        </w:rPr>
      </w:pPr>
      <w:r w:rsidRPr="00E277C7">
        <w:rPr>
          <w:rFonts w:ascii="黑体" w:eastAsia="黑体" w:hAnsi="黑体" w:hint="eastAsia"/>
        </w:rPr>
        <w:t>赛道三：数据要素×商贸流通领域赛题指南</w:t>
      </w:r>
    </w:p>
    <w:p w14:paraId="03941EB2"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一、加强数据融合分析利用，增强产业协同效益</w:t>
      </w:r>
    </w:p>
    <w:p w14:paraId="162DDA60" w14:textId="0FC39562" w:rsidR="00E277C7" w:rsidRPr="00E277C7" w:rsidRDefault="00E277C7" w:rsidP="00E277C7">
      <w:pPr>
        <w:ind w:firstLine="640"/>
        <w:rPr>
          <w:rFonts w:hAnsi="黑体" w:hint="eastAsia"/>
        </w:rPr>
      </w:pPr>
      <w:r w:rsidRPr="00E277C7">
        <w:rPr>
          <w:rFonts w:hAnsi="黑体" w:hint="eastAsia"/>
        </w:rPr>
        <w:t>加</w:t>
      </w:r>
      <w:proofErr w:type="gramStart"/>
      <w:r w:rsidRPr="00E277C7">
        <w:rPr>
          <w:rFonts w:hAnsi="黑体" w:hint="eastAsia"/>
        </w:rPr>
        <w:t>强电商平台</w:t>
      </w:r>
      <w:proofErr w:type="gramEnd"/>
      <w:r w:rsidRPr="00E277C7">
        <w:rPr>
          <w:rFonts w:hAnsi="黑体" w:hint="eastAsia"/>
        </w:rPr>
        <w:t>与各类商贸经营主体、相关服务企业深度融合，依托客流、消费行为、交通状况、人文特征等市场环境数据，打造集数据收集、分析、决策、精准推送和动态反馈的闭环消费生态；支持电子商务企业、国家电子商务示范基地、跨境电</w:t>
      </w:r>
      <w:proofErr w:type="gramStart"/>
      <w:r w:rsidRPr="00E277C7">
        <w:rPr>
          <w:rFonts w:hAnsi="黑体" w:hint="eastAsia"/>
        </w:rPr>
        <w:t>商产业</w:t>
      </w:r>
      <w:proofErr w:type="gramEnd"/>
      <w:r w:rsidRPr="00E277C7">
        <w:rPr>
          <w:rFonts w:hAnsi="黑体" w:hint="eastAsia"/>
        </w:rPr>
        <w:t>园区、传统商贸流通企业加强数据融合，整合订单需求、物流、产能、供应链等数据，优化配置产业链资源；鼓励电子商务企业、商贸企业依托订单数量、订单类型、人口分布等数据，主动对接生产企业、产业集群，加强产销对接、精准推送。</w:t>
      </w:r>
    </w:p>
    <w:p w14:paraId="781F4CB2"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二、实现新业</w:t>
      </w:r>
      <w:proofErr w:type="gramStart"/>
      <w:r w:rsidRPr="00E277C7">
        <w:rPr>
          <w:rFonts w:ascii="黑体" w:eastAsia="黑体" w:hAnsi="黑体" w:hint="eastAsia"/>
        </w:rPr>
        <w:t>态创新</w:t>
      </w:r>
      <w:proofErr w:type="gramEnd"/>
      <w:r w:rsidRPr="00E277C7">
        <w:rPr>
          <w:rFonts w:ascii="黑体" w:eastAsia="黑体" w:hAnsi="黑体" w:hint="eastAsia"/>
        </w:rPr>
        <w:t>发展</w:t>
      </w:r>
    </w:p>
    <w:p w14:paraId="38C8211F" w14:textId="751D86BF" w:rsidR="00E277C7" w:rsidRPr="00E277C7" w:rsidRDefault="00E277C7" w:rsidP="00E277C7">
      <w:pPr>
        <w:ind w:firstLine="640"/>
        <w:rPr>
          <w:rFonts w:hAnsi="黑体" w:hint="eastAsia"/>
        </w:rPr>
      </w:pPr>
      <w:r w:rsidRPr="00E277C7">
        <w:rPr>
          <w:rFonts w:hAnsi="黑体" w:hint="eastAsia"/>
        </w:rPr>
        <w:t>拓展新消费，推进直播电商、即时电商等业</w:t>
      </w:r>
      <w:proofErr w:type="gramStart"/>
      <w:r w:rsidRPr="00E277C7">
        <w:rPr>
          <w:rFonts w:hAnsi="黑体" w:hint="eastAsia"/>
        </w:rPr>
        <w:t>态创新</w:t>
      </w:r>
      <w:proofErr w:type="gramEnd"/>
      <w:r w:rsidRPr="00E277C7">
        <w:rPr>
          <w:rFonts w:hAnsi="黑体" w:hint="eastAsia"/>
        </w:rPr>
        <w:t>发展，支持各类商</w:t>
      </w:r>
      <w:proofErr w:type="gramStart"/>
      <w:r w:rsidRPr="00E277C7">
        <w:rPr>
          <w:rFonts w:hAnsi="黑体" w:hint="eastAsia"/>
        </w:rPr>
        <w:t>圈创新</w:t>
      </w:r>
      <w:proofErr w:type="gramEnd"/>
      <w:r w:rsidRPr="00E277C7">
        <w:rPr>
          <w:rFonts w:hAnsi="黑体" w:hint="eastAsia"/>
        </w:rPr>
        <w:t>应用场景，打造特色品牌，培育数字生活消费方式。</w:t>
      </w:r>
    </w:p>
    <w:p w14:paraId="70AB61B9"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三、提高行业国际化服务能力与竞争力</w:t>
      </w:r>
    </w:p>
    <w:p w14:paraId="7B00708C" w14:textId="5E0D0D3A" w:rsidR="00E277C7" w:rsidRPr="00E277C7" w:rsidRDefault="00E277C7" w:rsidP="00E277C7">
      <w:pPr>
        <w:ind w:firstLine="640"/>
        <w:rPr>
          <w:rFonts w:hAnsi="黑体" w:hint="eastAsia"/>
        </w:rPr>
      </w:pPr>
      <w:r w:rsidRPr="00E277C7">
        <w:rPr>
          <w:rFonts w:hAnsi="黑体" w:hint="eastAsia"/>
        </w:rPr>
        <w:t>通过交易、物流、支付等数据融合利用，提升跨境电商及相关企业供应</w:t>
      </w:r>
      <w:proofErr w:type="gramStart"/>
      <w:r w:rsidRPr="00E277C7">
        <w:rPr>
          <w:rFonts w:hAnsi="黑体" w:hint="eastAsia"/>
        </w:rPr>
        <w:t>链综合</w:t>
      </w:r>
      <w:proofErr w:type="gramEnd"/>
      <w:r w:rsidRPr="00E277C7">
        <w:rPr>
          <w:rFonts w:hAnsi="黑体" w:hint="eastAsia"/>
        </w:rPr>
        <w:t>服务、跨境身份认证、全球供应链融资等能力，推动企业国际化发展。</w:t>
      </w:r>
    </w:p>
    <w:p w14:paraId="06F4CF1A" w14:textId="77777777" w:rsidR="00E277C7" w:rsidRPr="00E277C7" w:rsidRDefault="00E277C7" w:rsidP="003B4E1A">
      <w:pPr>
        <w:ind w:firstLine="640"/>
        <w:outlineLvl w:val="1"/>
        <w:rPr>
          <w:rFonts w:ascii="黑体" w:eastAsia="黑体" w:hAnsi="黑体" w:hint="eastAsia"/>
        </w:rPr>
      </w:pPr>
      <w:r w:rsidRPr="00E277C7">
        <w:rPr>
          <w:rFonts w:ascii="黑体" w:eastAsia="黑体" w:hAnsi="黑体" w:hint="eastAsia"/>
        </w:rPr>
        <w:t>赛道四：数据要素×交通运输领域赛题指南</w:t>
      </w:r>
    </w:p>
    <w:p w14:paraId="78B9CDB7"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lastRenderedPageBreak/>
        <w:t>一、公路水路基础设施数字化转型升级</w:t>
      </w:r>
    </w:p>
    <w:p w14:paraId="047764BE" w14:textId="611A66BD" w:rsidR="00E277C7" w:rsidRPr="00E277C7" w:rsidRDefault="00E277C7" w:rsidP="00E277C7">
      <w:pPr>
        <w:ind w:firstLine="640"/>
        <w:rPr>
          <w:rFonts w:hAnsi="黑体" w:hint="eastAsia"/>
        </w:rPr>
      </w:pPr>
      <w:r w:rsidRPr="00E277C7">
        <w:rPr>
          <w:rFonts w:hAnsi="黑体" w:hint="eastAsia"/>
        </w:rPr>
        <w:t>进一步健全基础设施运营服务中交通与公安、气象、应急、数据、自然资源等部门的协同联动管理和服务机制，加强各类交通网络基础设施的数据跨区域衔接，探索建立行业数据分类分级、确权授权使用、市场化流通等运行机制。在智慧扩容方面实现通行效率有效提升，在安全增效方面实现突发时间应急响应效率的有效提升。</w:t>
      </w:r>
    </w:p>
    <w:p w14:paraId="7360861E"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二、提升综合货运枢纽智能化水平</w:t>
      </w:r>
    </w:p>
    <w:p w14:paraId="553639C3" w14:textId="7CEBED60" w:rsidR="00E277C7" w:rsidRPr="00E277C7" w:rsidRDefault="00E277C7" w:rsidP="00E277C7">
      <w:pPr>
        <w:ind w:firstLine="640"/>
        <w:rPr>
          <w:rFonts w:hAnsi="黑体" w:hint="eastAsia"/>
        </w:rPr>
      </w:pPr>
      <w:r w:rsidRPr="00E277C7">
        <w:rPr>
          <w:rFonts w:hAnsi="黑体" w:hint="eastAsia"/>
        </w:rPr>
        <w:t>基于多维数据搭建数据平台，综合运用数据挖掘、机器学习、深度学习等人工智能技术，对数据进行智能分析与模式识别，构建相关数据模型。探索综合货运枢纽智慧化、网联化方向，为交通物流枢纽信息资源全链条便捷共享打好基础。</w:t>
      </w:r>
    </w:p>
    <w:p w14:paraId="1C52D5B1"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三、基于多</w:t>
      </w:r>
      <w:proofErr w:type="gramStart"/>
      <w:r w:rsidRPr="00E277C7">
        <w:rPr>
          <w:rFonts w:ascii="黑体" w:eastAsia="黑体" w:hAnsi="黑体" w:hint="eastAsia"/>
        </w:rPr>
        <w:t>源数据</w:t>
      </w:r>
      <w:proofErr w:type="gramEnd"/>
      <w:r w:rsidRPr="00E277C7">
        <w:rPr>
          <w:rFonts w:ascii="黑体" w:eastAsia="黑体" w:hAnsi="黑体" w:hint="eastAsia"/>
        </w:rPr>
        <w:t>的农村公路运行状况动态识别分析</w:t>
      </w:r>
    </w:p>
    <w:p w14:paraId="1E80240C" w14:textId="01FE7A22" w:rsidR="00E277C7" w:rsidRPr="00E277C7" w:rsidRDefault="00E277C7" w:rsidP="00E277C7">
      <w:pPr>
        <w:ind w:firstLine="640"/>
        <w:rPr>
          <w:rFonts w:hAnsi="黑体" w:hint="eastAsia"/>
        </w:rPr>
      </w:pPr>
      <w:r w:rsidRPr="00E277C7">
        <w:rPr>
          <w:rFonts w:hAnsi="黑体" w:hint="eastAsia"/>
        </w:rPr>
        <w:t>形成农村公路运行状态动态识别分析技术方案，辅助农村公路基层管</w:t>
      </w:r>
      <w:proofErr w:type="gramStart"/>
      <w:r w:rsidRPr="00E277C7">
        <w:rPr>
          <w:rFonts w:hAnsi="黑体" w:hint="eastAsia"/>
        </w:rPr>
        <w:t>养人员</w:t>
      </w:r>
      <w:proofErr w:type="gramEnd"/>
      <w:r w:rsidRPr="00E277C7">
        <w:rPr>
          <w:rFonts w:hAnsi="黑体" w:hint="eastAsia"/>
        </w:rPr>
        <w:t>更好地管理和养护农村公路。</w:t>
      </w:r>
    </w:p>
    <w:p w14:paraId="34F3A7EB"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四、高速公路重大突发事件多源数据分析</w:t>
      </w:r>
    </w:p>
    <w:p w14:paraId="29997899" w14:textId="1AA02061" w:rsidR="00E277C7" w:rsidRPr="00E277C7" w:rsidRDefault="00E277C7" w:rsidP="00E277C7">
      <w:pPr>
        <w:ind w:firstLine="640"/>
        <w:rPr>
          <w:rFonts w:hAnsi="黑体" w:hint="eastAsia"/>
        </w:rPr>
      </w:pPr>
      <w:r w:rsidRPr="00E277C7">
        <w:rPr>
          <w:rFonts w:hAnsi="黑体" w:hint="eastAsia"/>
        </w:rPr>
        <w:t>有效监测高速公路运行情况，及时预警突发事件，防范化解公路安全运行风险，确保高速公路运行安全。</w:t>
      </w:r>
    </w:p>
    <w:p w14:paraId="7FB4451F"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五、交通物流运行监测</w:t>
      </w:r>
    </w:p>
    <w:p w14:paraId="73848E97" w14:textId="45B33349" w:rsidR="00E277C7" w:rsidRPr="00E277C7" w:rsidRDefault="00E277C7" w:rsidP="00E277C7">
      <w:pPr>
        <w:ind w:firstLine="640"/>
        <w:rPr>
          <w:rFonts w:hAnsi="黑体" w:hint="eastAsia"/>
        </w:rPr>
      </w:pPr>
      <w:r w:rsidRPr="00E277C7">
        <w:rPr>
          <w:rFonts w:hAnsi="黑体" w:hint="eastAsia"/>
        </w:rPr>
        <w:t>通过不同维度的指标监测及建立风险预警模型，支撑政府部门、企业及时掌握交通物流运行态势，开展实时风险监测与</w:t>
      </w:r>
      <w:r w:rsidRPr="00E277C7">
        <w:rPr>
          <w:rFonts w:hAnsi="黑体" w:hint="eastAsia"/>
        </w:rPr>
        <w:lastRenderedPageBreak/>
        <w:t>预警分析，辅助政府部门及时预防与应急处置、企业科学制定运输调度方案，提升交通物流运行韧性。</w:t>
      </w:r>
    </w:p>
    <w:p w14:paraId="3F5F327D"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六、船舶自动识别系统(AIS)虚假错误信息分析判别</w:t>
      </w:r>
    </w:p>
    <w:p w14:paraId="1EC7BE4F" w14:textId="0C93D96D" w:rsidR="00E277C7" w:rsidRPr="00E277C7" w:rsidRDefault="00E277C7" w:rsidP="00E277C7">
      <w:pPr>
        <w:ind w:firstLine="640"/>
        <w:rPr>
          <w:rFonts w:hAnsi="黑体" w:hint="eastAsia"/>
        </w:rPr>
      </w:pPr>
      <w:r w:rsidRPr="00E277C7">
        <w:rPr>
          <w:rFonts w:hAnsi="黑体" w:hint="eastAsia"/>
        </w:rPr>
        <w:t>通过分析识别虚假AIS报文和错误的船舶AIS数据，给海事执法提供参考，纠正船舶 AIS 错误数据信息和打击水上无线电非法AIS 报文播发行为，保障水上 船舶航行安全。</w:t>
      </w:r>
    </w:p>
    <w:p w14:paraId="72C7BEFD" w14:textId="77777777" w:rsidR="00E277C7" w:rsidRPr="00E277C7" w:rsidRDefault="00E277C7" w:rsidP="003B4E1A">
      <w:pPr>
        <w:ind w:firstLine="640"/>
        <w:outlineLvl w:val="1"/>
        <w:rPr>
          <w:rFonts w:ascii="黑体" w:eastAsia="黑体" w:hAnsi="黑体" w:hint="eastAsia"/>
        </w:rPr>
      </w:pPr>
      <w:r w:rsidRPr="00E277C7">
        <w:rPr>
          <w:rFonts w:ascii="黑体" w:eastAsia="黑体" w:hAnsi="黑体" w:hint="eastAsia"/>
        </w:rPr>
        <w:t>赛道五：数据要素×金融服务领域赛题指南</w:t>
      </w:r>
    </w:p>
    <w:p w14:paraId="73F6EEE9"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一、拓展公共数据应用</w:t>
      </w:r>
    </w:p>
    <w:p w14:paraId="792F458F" w14:textId="3CD5035D" w:rsidR="00E277C7" w:rsidRPr="00E277C7" w:rsidRDefault="00E277C7" w:rsidP="00E277C7">
      <w:pPr>
        <w:ind w:firstLine="640"/>
        <w:rPr>
          <w:rFonts w:hAnsi="黑体" w:hint="eastAsia"/>
        </w:rPr>
      </w:pPr>
      <w:r w:rsidRPr="00E277C7">
        <w:rPr>
          <w:rFonts w:hAnsi="黑体" w:hint="eastAsia"/>
        </w:rPr>
        <w:t>基于公共数据挖掘新的业务增长点，推动金融机构业务创新，促进金融机构可持续发展并更好地服务实体经济。同时，借助公共数据建立智能化的风险防控体系，实现对各类金融风险的实时监测、精准预警和有效应对，保障金融机构的稳健运营。</w:t>
      </w:r>
    </w:p>
    <w:p w14:paraId="258C84ED"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二、提升科技、绿色、普惠、养老金融服务水平</w:t>
      </w:r>
    </w:p>
    <w:p w14:paraId="61958D8E" w14:textId="27E24660" w:rsidR="00E277C7" w:rsidRPr="00E277C7" w:rsidRDefault="00E277C7" w:rsidP="00E277C7">
      <w:pPr>
        <w:ind w:firstLine="640"/>
        <w:rPr>
          <w:rFonts w:hAnsi="黑体" w:hint="eastAsia"/>
        </w:rPr>
      </w:pPr>
      <w:r w:rsidRPr="00E277C7">
        <w:rPr>
          <w:rFonts w:hAnsi="黑体" w:hint="eastAsia"/>
        </w:rPr>
        <w:t>运用大数据等手段，融合利用多维数据，完善对科技、绿色、普惠、养老企业的画像和评级，提升客户识别和营销对接效率，提高风险防控能力，探索创新业务模式，优化金融产品和服务，满足科技企业、绿色企业、中小微企业、养老企业的合理融资需求，助力科技、绿色、普惠、养老产业高质量发展。</w:t>
      </w:r>
    </w:p>
    <w:p w14:paraId="270BCEB4" w14:textId="77777777" w:rsidR="00E277C7" w:rsidRPr="00E277C7" w:rsidRDefault="00E277C7" w:rsidP="003B4E1A">
      <w:pPr>
        <w:ind w:firstLine="640"/>
        <w:outlineLvl w:val="1"/>
        <w:rPr>
          <w:rFonts w:ascii="黑体" w:eastAsia="黑体" w:hAnsi="黑体" w:hint="eastAsia"/>
        </w:rPr>
      </w:pPr>
      <w:r w:rsidRPr="00E277C7">
        <w:rPr>
          <w:rFonts w:ascii="黑体" w:eastAsia="黑体" w:hAnsi="黑体" w:hint="eastAsia"/>
        </w:rPr>
        <w:t>赛道六：数据要素×科技创新领域赛题指南</w:t>
      </w:r>
    </w:p>
    <w:p w14:paraId="0B058D0F"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一、鼓励科技数据汇聚共享</w:t>
      </w:r>
    </w:p>
    <w:p w14:paraId="05599537" w14:textId="2B366748" w:rsidR="00E277C7" w:rsidRPr="00E277C7" w:rsidRDefault="00E277C7" w:rsidP="00E277C7">
      <w:pPr>
        <w:ind w:firstLine="640"/>
        <w:rPr>
          <w:rFonts w:hAnsi="黑体" w:hint="eastAsia"/>
        </w:rPr>
      </w:pPr>
      <w:r w:rsidRPr="00E277C7">
        <w:rPr>
          <w:rFonts w:hAnsi="黑体" w:hint="eastAsia"/>
        </w:rPr>
        <w:lastRenderedPageBreak/>
        <w:t>围绕科学数据开放共享机制，推动海量多源科学数据治理，数据安全与隐私保护等重点场景，促进重大科技基础设施、重大科技项目等产生的各类科学数据有效汇聚、高效治理与互联互通，打造跨领域流通的科学数据协同服务网络，发展综合型、智能化、交互式等新型科学数据发现模式，推动科学数据有序开放共享和融合利用。</w:t>
      </w:r>
    </w:p>
    <w:p w14:paraId="58BE0066"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二、推动科技领域人工智能大模型开发</w:t>
      </w:r>
    </w:p>
    <w:p w14:paraId="3321FADF" w14:textId="348FC1D3" w:rsidR="00E277C7" w:rsidRPr="00E277C7" w:rsidRDefault="00E277C7" w:rsidP="00E277C7">
      <w:pPr>
        <w:ind w:firstLine="640"/>
        <w:rPr>
          <w:rFonts w:hAnsi="黑体" w:hint="eastAsia"/>
        </w:rPr>
      </w:pPr>
      <w:r w:rsidRPr="00E277C7">
        <w:rPr>
          <w:rFonts w:hAnsi="黑体" w:hint="eastAsia"/>
        </w:rPr>
        <w:t>围绕科学数据的质量和准确性，科学数据的标注和分类，科技领域大模型的预训练、微调与推理应用等重点问题，深入挖掘各类科学数据和科技文献，通过细粒度知识抽取和多来源知识融合，构建科学知识资源底座，建设高质量语料库和基础科学数据集，支持开展人工智能大模型开发和训练。</w:t>
      </w:r>
    </w:p>
    <w:p w14:paraId="39A20073"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三、科学数据助力科学研究和技术创新</w:t>
      </w:r>
    </w:p>
    <w:p w14:paraId="553DF55A" w14:textId="68789781" w:rsidR="00E277C7" w:rsidRPr="00E277C7" w:rsidRDefault="00E277C7" w:rsidP="00E277C7">
      <w:pPr>
        <w:ind w:firstLine="640"/>
        <w:rPr>
          <w:rFonts w:hAnsi="黑体" w:hint="eastAsia"/>
        </w:rPr>
      </w:pPr>
      <w:r w:rsidRPr="00E277C7">
        <w:rPr>
          <w:rFonts w:hAnsi="黑体" w:hint="eastAsia"/>
        </w:rPr>
        <w:t>围绕不同领域科学数据的融合利用，科学问题与人工智能等技术的融合，科学数据成果赋能技术创新和产业发展等重点场景，对科学数据融合应用、深入挖掘，提供高质量科学数据资源与知识服务，利用人工智能大模型等新技术，助力探索未知领域，驱动科学创新发现。聚焦生物育种、新材料创制、药物研发等领域，</w:t>
      </w:r>
      <w:proofErr w:type="gramStart"/>
      <w:r w:rsidRPr="00E277C7">
        <w:rPr>
          <w:rFonts w:hAnsi="黑体" w:hint="eastAsia"/>
        </w:rPr>
        <w:t>以数智融合</w:t>
      </w:r>
      <w:proofErr w:type="gramEnd"/>
      <w:r w:rsidRPr="00E277C7">
        <w:rPr>
          <w:rFonts w:hAnsi="黑体" w:hint="eastAsia"/>
        </w:rPr>
        <w:t>加速技术创新和产业升级。</w:t>
      </w:r>
    </w:p>
    <w:p w14:paraId="44FA5B48"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四、科学数据加速科研新范式变革</w:t>
      </w:r>
    </w:p>
    <w:p w14:paraId="7FA24C37" w14:textId="21915182" w:rsidR="00E277C7" w:rsidRPr="00E277C7" w:rsidRDefault="00E277C7" w:rsidP="00E277C7">
      <w:pPr>
        <w:ind w:firstLine="640"/>
        <w:rPr>
          <w:rFonts w:hAnsi="黑体" w:hint="eastAsia"/>
        </w:rPr>
      </w:pPr>
      <w:r w:rsidRPr="00E277C7">
        <w:rPr>
          <w:rFonts w:hAnsi="黑体" w:hint="eastAsia"/>
        </w:rPr>
        <w:t>围绕AI for Science在不同学科领域的研究与落地，充分依托各类数据库与知识库，利用人工智能、大数据和</w:t>
      </w:r>
      <w:proofErr w:type="gramStart"/>
      <w:r w:rsidRPr="00E277C7">
        <w:rPr>
          <w:rFonts w:hAnsi="黑体" w:hint="eastAsia"/>
        </w:rPr>
        <w:t>物联网</w:t>
      </w:r>
      <w:proofErr w:type="gramEnd"/>
      <w:r w:rsidRPr="00E277C7">
        <w:rPr>
          <w:rFonts w:hAnsi="黑体" w:hint="eastAsia"/>
        </w:rPr>
        <w:t>等</w:t>
      </w:r>
      <w:r w:rsidRPr="00E277C7">
        <w:rPr>
          <w:rFonts w:hAnsi="黑体" w:hint="eastAsia"/>
        </w:rPr>
        <w:lastRenderedPageBreak/>
        <w:t>技术，推进跨学科、跨领域协同创新，以数据驱动发现新规律、创造新知识、发明新方法，推动科学研究方法的不断进步和发展，加速科学研究范式变革与新质生产力发展。</w:t>
      </w:r>
    </w:p>
    <w:p w14:paraId="1F4077E8" w14:textId="77777777" w:rsidR="00E277C7" w:rsidRPr="00E277C7" w:rsidRDefault="00E277C7" w:rsidP="003B4E1A">
      <w:pPr>
        <w:ind w:firstLine="640"/>
        <w:outlineLvl w:val="1"/>
        <w:rPr>
          <w:rFonts w:ascii="黑体" w:eastAsia="黑体" w:hAnsi="黑体" w:hint="eastAsia"/>
        </w:rPr>
      </w:pPr>
      <w:r w:rsidRPr="00E277C7">
        <w:rPr>
          <w:rFonts w:ascii="黑体" w:eastAsia="黑体" w:hAnsi="黑体" w:hint="eastAsia"/>
        </w:rPr>
        <w:t>赛道七：数据要素×文化旅游领域赛题指南</w:t>
      </w:r>
    </w:p>
    <w:p w14:paraId="0744CA97"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一、公共文化资源数字化与开放共享</w:t>
      </w:r>
    </w:p>
    <w:p w14:paraId="2650970D" w14:textId="62658FF9" w:rsidR="00E277C7" w:rsidRPr="00E277C7" w:rsidRDefault="00E277C7" w:rsidP="00E277C7">
      <w:pPr>
        <w:ind w:firstLine="640"/>
        <w:rPr>
          <w:rFonts w:hAnsi="黑体" w:hint="eastAsia"/>
        </w:rPr>
      </w:pPr>
      <w:r w:rsidRPr="00E277C7">
        <w:rPr>
          <w:rFonts w:hAnsi="黑体" w:hint="eastAsia"/>
        </w:rPr>
        <w:t>推进公共文化资源数字化建设，整合汇聚文物、古籍、美术、地方戏曲剧种、非物质文化遗产等文化数据资源，或在博物馆、公共图书馆和文化馆等公共文化场所中，推进文化资源数字化和垂直领域数据归集，丰富公共文化数据库，增强公共文化数字内容的供给能力。同时，借助公共文化数据资源和前沿技术，实现公共文化数据的广泛开放共享与跨主体流动开发，非物质文化遗产的传承与创新发展，提升公共文化资源的普惠度、公众参与度和满意度。</w:t>
      </w:r>
    </w:p>
    <w:p w14:paraId="7CBF8CBC" w14:textId="614FDF8E" w:rsidR="00E277C7" w:rsidRPr="00E277C7" w:rsidRDefault="00E277C7" w:rsidP="00E277C7">
      <w:pPr>
        <w:ind w:firstLine="640"/>
        <w:rPr>
          <w:rFonts w:ascii="黑体" w:eastAsia="黑体" w:hAnsi="黑体" w:hint="eastAsia"/>
        </w:rPr>
      </w:pPr>
      <w:r w:rsidRPr="00E277C7">
        <w:rPr>
          <w:rFonts w:ascii="黑体" w:eastAsia="黑体" w:hAnsi="黑体" w:hint="eastAsia"/>
        </w:rPr>
        <w:t>二、文化创意产业IP创新应用</w:t>
      </w:r>
    </w:p>
    <w:p w14:paraId="0A49DD2A" w14:textId="477BF8C9" w:rsidR="00E277C7" w:rsidRPr="00E277C7" w:rsidRDefault="00E277C7" w:rsidP="00E277C7">
      <w:pPr>
        <w:ind w:firstLine="640"/>
        <w:rPr>
          <w:rFonts w:hAnsi="黑体" w:hint="eastAsia"/>
        </w:rPr>
      </w:pPr>
      <w:r w:rsidRPr="00E277C7">
        <w:rPr>
          <w:rFonts w:hAnsi="黑体" w:hint="eastAsia"/>
        </w:rPr>
        <w:t>拓展文化资源数字化新技术与文化内容IP应用新场景，通过运用多样化的数字技术提高文化资源创新效能；深化文化内容产业IP价值及其衍生业态，探索实现文化内容IP资本化转化，形成文化数据资源开发利用新模式新举措。</w:t>
      </w:r>
    </w:p>
    <w:p w14:paraId="4EB644D0"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三、文物数字化保护与传播</w:t>
      </w:r>
    </w:p>
    <w:p w14:paraId="19A3BBD4" w14:textId="70BFDC97" w:rsidR="00E277C7" w:rsidRPr="00E277C7" w:rsidRDefault="00E277C7" w:rsidP="00E277C7">
      <w:pPr>
        <w:ind w:firstLine="640"/>
        <w:rPr>
          <w:rFonts w:hAnsi="黑体" w:hint="eastAsia"/>
        </w:rPr>
      </w:pPr>
      <w:r w:rsidRPr="00E277C7">
        <w:rPr>
          <w:rFonts w:hAnsi="黑体" w:hint="eastAsia"/>
        </w:rPr>
        <w:t>运用前沿技术，实现对文物进行全方位数字化保护与复原，借助保护修复、安全监管、文物流通等多维度数据，形成“文物画像”，让文物“活起来”，为文化保护及活化利用提供新的</w:t>
      </w:r>
      <w:r w:rsidRPr="00E277C7">
        <w:rPr>
          <w:rFonts w:hAnsi="黑体" w:hint="eastAsia"/>
        </w:rPr>
        <w:lastRenderedPageBreak/>
        <w:t>视角和方法。利用数字 3D、全息投影等技术提升文物展示与解说的游客体验，提升文物的价值和吸引力。或者通过整合和共享文物数据增强相关机构在文物保护、展陈展示和文化传播等方面的工作效能。</w:t>
      </w:r>
    </w:p>
    <w:p w14:paraId="2E4B9BB5"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四、智慧旅游创新发展</w:t>
      </w:r>
    </w:p>
    <w:p w14:paraId="6190F1AD" w14:textId="349F04CB" w:rsidR="00E277C7" w:rsidRPr="00E277C7" w:rsidRDefault="00E277C7" w:rsidP="00E277C7">
      <w:pPr>
        <w:ind w:firstLine="640"/>
        <w:rPr>
          <w:rFonts w:hAnsi="黑体" w:hint="eastAsia"/>
        </w:rPr>
      </w:pPr>
      <w:r w:rsidRPr="00E277C7">
        <w:rPr>
          <w:rFonts w:hAnsi="黑体" w:hint="eastAsia"/>
        </w:rPr>
        <w:t>以旅游景区、度假区、休闲街区等为核心，依托运营商、在线旅游代理（OTA）、游客生成数据（UGC）、本地硬件设备及政务等数据，构建游客画像，实现个性化和精准化的旅游信息推荐和精准营销并形成新的产品和模式创新；通过公共数据开放共享、</w:t>
      </w:r>
      <w:proofErr w:type="gramStart"/>
      <w:r w:rsidRPr="00E277C7">
        <w:rPr>
          <w:rFonts w:hAnsi="黑体" w:hint="eastAsia"/>
        </w:rPr>
        <w:t>涉旅企业</w:t>
      </w:r>
      <w:proofErr w:type="gramEnd"/>
      <w:r w:rsidRPr="00E277C7">
        <w:rPr>
          <w:rFonts w:hAnsi="黑体" w:hint="eastAsia"/>
        </w:rPr>
        <w:t>数据有序流通等形式，提升旅游服务便利化和体验个性化，进行跨行业、跨主体、跨区域数据开放共享与资源置换。</w:t>
      </w:r>
    </w:p>
    <w:p w14:paraId="10945C62" w14:textId="5387A7FA" w:rsidR="00E277C7" w:rsidRPr="00E277C7" w:rsidRDefault="00E277C7" w:rsidP="00E277C7">
      <w:pPr>
        <w:ind w:firstLine="640"/>
        <w:rPr>
          <w:rFonts w:ascii="黑体" w:eastAsia="黑体" w:hAnsi="黑体" w:hint="eastAsia"/>
        </w:rPr>
      </w:pPr>
      <w:r w:rsidRPr="00E277C7">
        <w:rPr>
          <w:rFonts w:ascii="黑体" w:eastAsia="黑体" w:hAnsi="黑体" w:hint="eastAsia"/>
        </w:rPr>
        <w:t>五、AI大模型</w:t>
      </w:r>
      <w:proofErr w:type="gramStart"/>
      <w:r w:rsidRPr="00E277C7">
        <w:rPr>
          <w:rFonts w:ascii="黑体" w:eastAsia="黑体" w:hAnsi="黑体" w:hint="eastAsia"/>
        </w:rPr>
        <w:t>与文旅融合</w:t>
      </w:r>
      <w:proofErr w:type="gramEnd"/>
      <w:r w:rsidRPr="00E277C7">
        <w:rPr>
          <w:rFonts w:ascii="黑体" w:eastAsia="黑体" w:hAnsi="黑体" w:hint="eastAsia"/>
        </w:rPr>
        <w:t>应用</w:t>
      </w:r>
    </w:p>
    <w:p w14:paraId="743806A8" w14:textId="32C24F33" w:rsidR="00E277C7" w:rsidRPr="00E277C7" w:rsidRDefault="00E277C7" w:rsidP="00E277C7">
      <w:pPr>
        <w:ind w:firstLine="640"/>
        <w:rPr>
          <w:rFonts w:hAnsi="黑体" w:hint="eastAsia"/>
        </w:rPr>
      </w:pPr>
      <w:r w:rsidRPr="00E277C7">
        <w:rPr>
          <w:rFonts w:hAnsi="黑体" w:hint="eastAsia"/>
        </w:rPr>
        <w:t>利用文化和旅游领域特有的数据资源，依托 AI 大模型技术开发垂直领域大模型和智能体应用。通过整合旅游目的地信息及相关行业数据，构建诸如“旅游行程规划助手”“旅游智能服务助手”等应用场景；通过梳理文化领域博物馆、图书馆、文化馆、</w:t>
      </w:r>
      <w:proofErr w:type="gramStart"/>
      <w:r w:rsidRPr="00E277C7">
        <w:rPr>
          <w:rFonts w:hAnsi="黑体" w:hint="eastAsia"/>
        </w:rPr>
        <w:t>非遗馆等</w:t>
      </w:r>
      <w:proofErr w:type="gramEnd"/>
      <w:r w:rsidRPr="00E277C7">
        <w:rPr>
          <w:rFonts w:hAnsi="黑体" w:hint="eastAsia"/>
        </w:rPr>
        <w:t>场所公共文化资源，为训练领域 AI 智能</w:t>
      </w:r>
      <w:proofErr w:type="gramStart"/>
      <w:r w:rsidRPr="00E277C7">
        <w:rPr>
          <w:rFonts w:hAnsi="黑体" w:hint="eastAsia"/>
        </w:rPr>
        <w:t>体提供</w:t>
      </w:r>
      <w:proofErr w:type="gramEnd"/>
      <w:r w:rsidRPr="00E277C7">
        <w:rPr>
          <w:rFonts w:hAnsi="黑体" w:hint="eastAsia"/>
        </w:rPr>
        <w:t>高质量的语料库和训练集，借助“问答助手”、文生图、文生视频等新的交互方式提升公众获取公共文化资源的效率和体验；或通过生成式AI的方式为文化内容创作提供智能化解决方案。</w:t>
      </w:r>
    </w:p>
    <w:p w14:paraId="246458C3"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lastRenderedPageBreak/>
        <w:t>六、文化和旅游数据要素化新发展</w:t>
      </w:r>
    </w:p>
    <w:p w14:paraId="6C247FAD" w14:textId="6D4F2BB3" w:rsidR="00E277C7" w:rsidRPr="00E277C7" w:rsidRDefault="00E277C7" w:rsidP="00E277C7">
      <w:pPr>
        <w:ind w:firstLine="640"/>
        <w:rPr>
          <w:rFonts w:hAnsi="黑体" w:hint="eastAsia"/>
        </w:rPr>
      </w:pPr>
      <w:r w:rsidRPr="00E277C7">
        <w:rPr>
          <w:rFonts w:hAnsi="黑体" w:hint="eastAsia"/>
        </w:rPr>
        <w:t>探索文化和旅游数据要素化的实践，在遵守法律法规的基础上，进行文化和旅游数据的确权、定价、资产化和交易等关键环节的实践；或者探讨如何通过建立内容 IP 授权、维</w:t>
      </w:r>
      <w:proofErr w:type="gramStart"/>
      <w:r w:rsidRPr="00E277C7">
        <w:rPr>
          <w:rFonts w:hAnsi="黑体" w:hint="eastAsia"/>
        </w:rPr>
        <w:t>权机制</w:t>
      </w:r>
      <w:proofErr w:type="gramEnd"/>
      <w:r w:rsidRPr="00E277C7">
        <w:rPr>
          <w:rFonts w:hAnsi="黑体" w:hint="eastAsia"/>
        </w:rPr>
        <w:t>和打造平台等手段，引导和促进场内数据交易的创新尝试；或者体现文化和旅游领域数据安全建设，展示如何平衡数据利用与用户隐私保护之间关系的创新解决方案。</w:t>
      </w:r>
    </w:p>
    <w:p w14:paraId="4F42F0E1"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七、文物数据应用机制与技术</w:t>
      </w:r>
    </w:p>
    <w:p w14:paraId="14857B55" w14:textId="4DC8BDFB" w:rsidR="00E277C7" w:rsidRPr="00E277C7" w:rsidRDefault="00E277C7" w:rsidP="00E277C7">
      <w:pPr>
        <w:ind w:firstLine="640"/>
        <w:rPr>
          <w:rFonts w:hAnsi="黑体" w:hint="eastAsia"/>
        </w:rPr>
      </w:pPr>
      <w:r w:rsidRPr="00E277C7">
        <w:rPr>
          <w:rFonts w:hAnsi="黑体" w:hint="eastAsia"/>
        </w:rPr>
        <w:t>研发一套文物数据局确权的技术解决方案，包括标准化确权模型和适用于文物保护机构的数字化工具。设计一个智能授权管理平台，包括智能合约模板、数据访问权限管理模块和授权记录追踪模块等。建立一个基于区块链或可信计算技术的数据流通平台，实现透明、安全、高效的数据共享。</w:t>
      </w:r>
    </w:p>
    <w:p w14:paraId="5FD92C2A"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八、文物数据资源应用场景展示研究</w:t>
      </w:r>
    </w:p>
    <w:p w14:paraId="538D8140" w14:textId="1E96949F" w:rsidR="00E277C7" w:rsidRPr="00E277C7" w:rsidRDefault="00E277C7" w:rsidP="00E277C7">
      <w:pPr>
        <w:ind w:firstLine="640"/>
        <w:rPr>
          <w:rFonts w:hAnsi="黑体" w:hint="eastAsia"/>
        </w:rPr>
      </w:pPr>
      <w:r w:rsidRPr="00E277C7">
        <w:rPr>
          <w:rFonts w:hAnsi="黑体" w:hint="eastAsia"/>
        </w:rPr>
        <w:t>构建多维度的文物结构化数据，运用知识图谱、多模态大模型、算法推荐等，完成从文物数据采集到科研、教育、游戏、动漫、文创设计等的多场景应用。同时，形成高精度、多模态、虚实融合的历史空间时序重建与人机交互系统解决方案，实现新型文物展示空间等创新成果的产业化应用。</w:t>
      </w:r>
    </w:p>
    <w:p w14:paraId="19BCC429" w14:textId="77777777" w:rsidR="00E277C7" w:rsidRPr="00E277C7" w:rsidRDefault="00E277C7" w:rsidP="003B4E1A">
      <w:pPr>
        <w:ind w:firstLine="640"/>
        <w:outlineLvl w:val="1"/>
        <w:rPr>
          <w:rFonts w:ascii="黑体" w:eastAsia="黑体" w:hAnsi="黑体" w:hint="eastAsia"/>
        </w:rPr>
      </w:pPr>
      <w:r w:rsidRPr="00E277C7">
        <w:rPr>
          <w:rFonts w:ascii="黑体" w:eastAsia="黑体" w:hAnsi="黑体" w:hint="eastAsia"/>
        </w:rPr>
        <w:t>赛道八：数据要素×医疗健康领域赛题指南</w:t>
      </w:r>
    </w:p>
    <w:p w14:paraId="79BE2146"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一、医疗健康数据跨主体流动、数据资产交易</w:t>
      </w:r>
    </w:p>
    <w:p w14:paraId="6F08F9E5" w14:textId="03BFDCD7" w:rsidR="00E277C7" w:rsidRPr="00E277C7" w:rsidRDefault="00E277C7" w:rsidP="00E277C7">
      <w:pPr>
        <w:ind w:firstLine="640"/>
        <w:rPr>
          <w:rFonts w:hAnsi="黑体" w:hint="eastAsia"/>
        </w:rPr>
      </w:pPr>
      <w:r w:rsidRPr="00E277C7">
        <w:rPr>
          <w:rFonts w:hAnsi="黑体" w:hint="eastAsia"/>
        </w:rPr>
        <w:lastRenderedPageBreak/>
        <w:t>医疗健康数据涉及患者个人隐私，如何加强患者数据确权、授权使用以及确定合理的收益分配机制是亟待解决的问题，探索形成医疗健康多</w:t>
      </w:r>
      <w:proofErr w:type="gramStart"/>
      <w:r w:rsidRPr="00E277C7">
        <w:rPr>
          <w:rFonts w:hAnsi="黑体" w:hint="eastAsia"/>
        </w:rPr>
        <w:t>源数据</w:t>
      </w:r>
      <w:proofErr w:type="gramEnd"/>
      <w:r w:rsidRPr="00E277C7">
        <w:rPr>
          <w:rFonts w:hAnsi="黑体" w:hint="eastAsia"/>
        </w:rPr>
        <w:t>确权授权使用和收益分配机制方案。</w:t>
      </w:r>
    </w:p>
    <w:p w14:paraId="4667C319"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二、医疗健康数据跨机构数据协同应用</w:t>
      </w:r>
    </w:p>
    <w:p w14:paraId="679AA48A" w14:textId="5D610397" w:rsidR="00E277C7" w:rsidRPr="00E277C7" w:rsidRDefault="00E277C7" w:rsidP="00E277C7">
      <w:pPr>
        <w:ind w:firstLine="640"/>
        <w:rPr>
          <w:rFonts w:hAnsi="黑体" w:hint="eastAsia"/>
        </w:rPr>
      </w:pPr>
      <w:r w:rsidRPr="00E277C7">
        <w:rPr>
          <w:rFonts w:hAnsi="黑体" w:hint="eastAsia"/>
        </w:rPr>
        <w:t>不同机构间对医疗健康数据的共享应用需求较迫切，通过建设可信数据空间，构建数据合</w:t>
      </w:r>
      <w:proofErr w:type="gramStart"/>
      <w:r w:rsidRPr="00E277C7">
        <w:rPr>
          <w:rFonts w:hAnsi="黑体" w:hint="eastAsia"/>
        </w:rPr>
        <w:t>规</w:t>
      </w:r>
      <w:proofErr w:type="gramEnd"/>
      <w:r w:rsidRPr="00E277C7">
        <w:rPr>
          <w:rFonts w:hAnsi="黑体" w:hint="eastAsia"/>
        </w:rPr>
        <w:t>匿名化、数据“可用不可见”的流通使用新模式和可信流通体系。</w:t>
      </w:r>
    </w:p>
    <w:p w14:paraId="32A7361F"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三、提升医疗服务便捷性</w:t>
      </w:r>
    </w:p>
    <w:p w14:paraId="13E8EFC4" w14:textId="755C5DF8" w:rsidR="00E277C7" w:rsidRPr="00E277C7" w:rsidRDefault="00E277C7" w:rsidP="00E277C7">
      <w:pPr>
        <w:ind w:firstLine="640"/>
        <w:rPr>
          <w:rFonts w:hAnsi="黑体" w:hint="eastAsia"/>
        </w:rPr>
      </w:pPr>
      <w:r w:rsidRPr="00E277C7">
        <w:rPr>
          <w:rFonts w:hAnsi="黑体" w:hint="eastAsia"/>
        </w:rPr>
        <w:t>医疗服务的复杂性、服务流程的多样性、服务对象的广泛性、医疗数据的敏感性，机构间存在信息壁垒，推动优化医疗资源配置，实现跨机构数据共享，提供便捷、高效的医疗服务，切实提高服务效率和质量。</w:t>
      </w:r>
    </w:p>
    <w:p w14:paraId="6A42ECDF"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四、强化</w:t>
      </w:r>
      <w:proofErr w:type="gramStart"/>
      <w:r w:rsidRPr="00E277C7">
        <w:rPr>
          <w:rFonts w:ascii="黑体" w:eastAsia="黑体" w:hAnsi="黑体" w:hint="eastAsia"/>
        </w:rPr>
        <w:t>医疗大</w:t>
      </w:r>
      <w:proofErr w:type="gramEnd"/>
      <w:r w:rsidRPr="00E277C7">
        <w:rPr>
          <w:rFonts w:ascii="黑体" w:eastAsia="黑体" w:hAnsi="黑体" w:hint="eastAsia"/>
        </w:rPr>
        <w:t>数据创新应用</w:t>
      </w:r>
    </w:p>
    <w:p w14:paraId="246B972E" w14:textId="3B0F2609" w:rsidR="00E277C7" w:rsidRPr="00E277C7" w:rsidRDefault="00E277C7" w:rsidP="00E277C7">
      <w:pPr>
        <w:ind w:firstLine="640"/>
        <w:rPr>
          <w:rFonts w:hAnsi="黑体" w:hint="eastAsia"/>
        </w:rPr>
      </w:pPr>
      <w:r w:rsidRPr="00E277C7">
        <w:rPr>
          <w:rFonts w:hAnsi="黑体" w:hint="eastAsia"/>
        </w:rPr>
        <w:t>完善健康医疗数据资源要素体系，深化在行业治理、临床科研、公共卫生、职能医疗设备等领域的创新应用。建设多模态语料库和高质量医学数据集，为医药产品研发或临床知识发现提供早期研究基础，形成一批具有示范效应的新模式、新业态。</w:t>
      </w:r>
    </w:p>
    <w:p w14:paraId="4E93761C"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五、规范医务人员依法执业</w:t>
      </w:r>
    </w:p>
    <w:p w14:paraId="03F7C859" w14:textId="0EB53234" w:rsidR="00E277C7" w:rsidRPr="00E277C7" w:rsidRDefault="00E277C7" w:rsidP="00E277C7">
      <w:pPr>
        <w:ind w:firstLine="640"/>
        <w:rPr>
          <w:rFonts w:hAnsi="黑体" w:hint="eastAsia"/>
        </w:rPr>
      </w:pPr>
      <w:r w:rsidRPr="00E277C7">
        <w:rPr>
          <w:rFonts w:hAnsi="黑体" w:hint="eastAsia"/>
        </w:rPr>
        <w:t>聚焦医务人员使用智能系统辅助规范医疗执业行为的场景，利用信息技术创新性地将医疗服务相关法律法规规定嵌入医疗服务流程，有效普及医疗执业相关法律法规，提供精准的医疗</w:t>
      </w:r>
      <w:r w:rsidRPr="00E277C7">
        <w:rPr>
          <w:rFonts w:hAnsi="黑体" w:hint="eastAsia"/>
        </w:rPr>
        <w:lastRenderedPageBreak/>
        <w:t>执业法律风险预警和决策建议，加强医疗执业行为的合</w:t>
      </w:r>
      <w:proofErr w:type="gramStart"/>
      <w:r w:rsidRPr="00E277C7">
        <w:rPr>
          <w:rFonts w:hAnsi="黑体" w:hint="eastAsia"/>
        </w:rPr>
        <w:t>规</w:t>
      </w:r>
      <w:proofErr w:type="gramEnd"/>
      <w:r w:rsidRPr="00E277C7">
        <w:rPr>
          <w:rFonts w:hAnsi="黑体" w:hint="eastAsia"/>
        </w:rPr>
        <w:t>性审查，优化诊疗过程，保障依法执业。</w:t>
      </w:r>
    </w:p>
    <w:p w14:paraId="290D12A8" w14:textId="77777777" w:rsidR="00E277C7" w:rsidRPr="00E277C7" w:rsidRDefault="00E277C7" w:rsidP="003B4E1A">
      <w:pPr>
        <w:ind w:firstLine="640"/>
        <w:outlineLvl w:val="1"/>
        <w:rPr>
          <w:rFonts w:ascii="黑体" w:eastAsia="黑体" w:hAnsi="黑体" w:hint="eastAsia"/>
        </w:rPr>
      </w:pPr>
      <w:r w:rsidRPr="00E277C7">
        <w:rPr>
          <w:rFonts w:ascii="黑体" w:eastAsia="黑体" w:hAnsi="黑体" w:hint="eastAsia"/>
        </w:rPr>
        <w:t>赛道九：数据要素×应急管理领域赛题指南</w:t>
      </w:r>
    </w:p>
    <w:p w14:paraId="75917CDD"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一、提升安全生产监管能力</w:t>
      </w:r>
    </w:p>
    <w:p w14:paraId="0C96CC28" w14:textId="0FF06815" w:rsidR="00E277C7" w:rsidRPr="00E277C7" w:rsidRDefault="00E277C7" w:rsidP="00E277C7">
      <w:pPr>
        <w:ind w:firstLine="640"/>
        <w:rPr>
          <w:rFonts w:hAnsi="黑体" w:hint="eastAsia"/>
        </w:rPr>
      </w:pPr>
      <w:r w:rsidRPr="00E277C7">
        <w:rPr>
          <w:rFonts w:hAnsi="黑体" w:hint="eastAsia"/>
        </w:rPr>
        <w:t>围绕矿山、危险化学品等高危行业安全生产监管需求，充分发挥电力、通信、遥感、消防等数据要素在提升实时监测与精准监管能力中的融合应用价值，实现对私挖盗采、明停暗开等行为的精准监管和城市火灾的智能监测。体现数据要素在安全生产责任保险评估模型构建和新险种开发方面的重要作用，以数据要素价值化提高安全生产风险评估的精准化和科学化。</w:t>
      </w:r>
    </w:p>
    <w:p w14:paraId="1022C924"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二、提升自然灾害监测评估能力</w:t>
      </w:r>
    </w:p>
    <w:p w14:paraId="024607D0" w14:textId="6CA9E41D" w:rsidR="00E277C7" w:rsidRPr="00E277C7" w:rsidRDefault="00E277C7" w:rsidP="00E277C7">
      <w:pPr>
        <w:ind w:firstLine="640"/>
        <w:rPr>
          <w:rFonts w:hAnsi="黑体" w:hint="eastAsia"/>
        </w:rPr>
      </w:pPr>
      <w:r w:rsidRPr="00E277C7">
        <w:rPr>
          <w:rFonts w:hAnsi="黑体" w:hint="eastAsia"/>
        </w:rPr>
        <w:t>充分发挥公共数据资源要素价值，整合利用铁塔、电力、气象等公共数据，全面赋能自然灾害灾情监测、预警、</w:t>
      </w:r>
      <w:proofErr w:type="gramStart"/>
      <w:r w:rsidRPr="00E277C7">
        <w:rPr>
          <w:rFonts w:hAnsi="黑体" w:hint="eastAsia"/>
        </w:rPr>
        <w:t>研</w:t>
      </w:r>
      <w:proofErr w:type="gramEnd"/>
      <w:r w:rsidRPr="00E277C7">
        <w:rPr>
          <w:rFonts w:hAnsi="黑体" w:hint="eastAsia"/>
        </w:rPr>
        <w:t>判、评估等全过程管理，提升自然灾害风险管理数据分析、仿真与建模水平。针对地震风险的监测评估，强化地震活动、地壳形变、地下流体等监测数据的融合分析，提升地震预测预警水平。</w:t>
      </w:r>
    </w:p>
    <w:p w14:paraId="53A6664A"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三、提升应急协调共享能力</w:t>
      </w:r>
    </w:p>
    <w:p w14:paraId="0921D2D9" w14:textId="6BCEB47F" w:rsidR="00E277C7" w:rsidRPr="00E277C7" w:rsidRDefault="00E277C7" w:rsidP="00E277C7">
      <w:pPr>
        <w:ind w:firstLine="640"/>
        <w:rPr>
          <w:rFonts w:hAnsi="黑体" w:hint="eastAsia"/>
        </w:rPr>
      </w:pPr>
      <w:r w:rsidRPr="00E277C7">
        <w:rPr>
          <w:rFonts w:hAnsi="黑体" w:hint="eastAsia"/>
        </w:rPr>
        <w:t>针对跨区域一体化应急管理面临的新形势、新要求，加强应急管理事件、人员队伍、物资装备、安全生产经营许可等相关数据要素跨区域共享使用，发挥数据要素对应急管理监管执法、现场处置和协同联动的赋能作用。</w:t>
      </w:r>
    </w:p>
    <w:p w14:paraId="59E26C7F" w14:textId="77777777" w:rsidR="00E277C7" w:rsidRPr="00E277C7" w:rsidRDefault="00E277C7" w:rsidP="003B4E1A">
      <w:pPr>
        <w:ind w:firstLine="640"/>
        <w:outlineLvl w:val="1"/>
        <w:rPr>
          <w:rFonts w:ascii="黑体" w:eastAsia="黑体" w:hAnsi="黑体" w:hint="eastAsia"/>
        </w:rPr>
      </w:pPr>
      <w:r w:rsidRPr="00E277C7">
        <w:rPr>
          <w:rFonts w:ascii="黑体" w:eastAsia="黑体" w:hAnsi="黑体" w:hint="eastAsia"/>
        </w:rPr>
        <w:t>赛道十：数据要素×气象服务领域赛题指南</w:t>
      </w:r>
    </w:p>
    <w:p w14:paraId="5E6931FB"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lastRenderedPageBreak/>
        <w:t>一、开发气象数据决策新模式</w:t>
      </w:r>
    </w:p>
    <w:p w14:paraId="75F87EE6" w14:textId="1E283EC4" w:rsidR="00E277C7" w:rsidRPr="00E277C7" w:rsidRDefault="00E277C7" w:rsidP="00E277C7">
      <w:pPr>
        <w:ind w:firstLine="640"/>
        <w:rPr>
          <w:rFonts w:hAnsi="黑体" w:hint="eastAsia"/>
        </w:rPr>
      </w:pPr>
      <w:r w:rsidRPr="00E277C7">
        <w:rPr>
          <w:rFonts w:hAnsi="黑体" w:hint="eastAsia"/>
        </w:rPr>
        <w:t>强化气象数据与经济社会、生态环境、自然资源、农业农村等数据融合应用，打造气候变化风险识别、风险评估、风险预警、风险转移等智能决策模式。深化气象数据与城市规划、重大工程等建设数据融合应用，降低不利气象条件对规划和工程的影响。推动气象数据在风能、太阳能等企业选址布局、设备运维、能源调度等深度应用，实现新能源企业降本增效。</w:t>
      </w:r>
    </w:p>
    <w:p w14:paraId="59292362"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二、开展气象数据产品新服务</w:t>
      </w:r>
    </w:p>
    <w:p w14:paraId="0EDBFF86" w14:textId="7B1EDCB2" w:rsidR="00E277C7" w:rsidRPr="00E277C7" w:rsidRDefault="00E277C7" w:rsidP="00E277C7">
      <w:pPr>
        <w:ind w:firstLine="640"/>
        <w:rPr>
          <w:rFonts w:hAnsi="黑体" w:hint="eastAsia"/>
        </w:rPr>
      </w:pPr>
      <w:r w:rsidRPr="00E277C7">
        <w:rPr>
          <w:rFonts w:hAnsi="黑体" w:hint="eastAsia"/>
        </w:rPr>
        <w:t>聚焦农业、物流、水力、电力、能源等领域气候风险防范需求，汇聚多源气候数据与行业数据，运用统计分析、机器学习等方法开发“天气指数-灾害损失”评估模型。基于“天气指数-灾害损失”评估模型按需开发各种天气指数保险产品及天气衍生品，推动其落地应用于保险、期货等金融行业。深化气象数据分析，挖掘温室气体排放的源头，识别和评估潜在气候风险及其对经济活动的影响，开发相应的气候投融资产品，实现气候投</w:t>
      </w:r>
      <w:proofErr w:type="gramStart"/>
      <w:r w:rsidRPr="00E277C7">
        <w:rPr>
          <w:rFonts w:hAnsi="黑体" w:hint="eastAsia"/>
        </w:rPr>
        <w:t>融资数智服务</w:t>
      </w:r>
      <w:proofErr w:type="gramEnd"/>
      <w:r w:rsidRPr="00E277C7">
        <w:rPr>
          <w:rFonts w:hAnsi="黑体" w:hint="eastAsia"/>
        </w:rPr>
        <w:t>。</w:t>
      </w:r>
    </w:p>
    <w:p w14:paraId="11998FB8" w14:textId="77777777" w:rsidR="00E277C7" w:rsidRPr="00E277C7" w:rsidRDefault="00E277C7" w:rsidP="003B4E1A">
      <w:pPr>
        <w:ind w:firstLine="640"/>
        <w:outlineLvl w:val="1"/>
        <w:rPr>
          <w:rFonts w:ascii="黑体" w:eastAsia="黑体" w:hAnsi="黑体" w:hint="eastAsia"/>
        </w:rPr>
      </w:pPr>
      <w:r w:rsidRPr="00E277C7">
        <w:rPr>
          <w:rFonts w:ascii="黑体" w:eastAsia="黑体" w:hAnsi="黑体" w:hint="eastAsia"/>
        </w:rPr>
        <w:t>赛道十一：数据要素×城市治理领域赛题指南</w:t>
      </w:r>
    </w:p>
    <w:p w14:paraId="4B2B5292"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一、提升城市管理协同化水平</w:t>
      </w:r>
    </w:p>
    <w:p w14:paraId="478940CF" w14:textId="05B8EA46" w:rsidR="00E277C7" w:rsidRPr="00E277C7" w:rsidRDefault="00E277C7" w:rsidP="00E277C7">
      <w:pPr>
        <w:ind w:firstLine="640"/>
        <w:rPr>
          <w:rFonts w:hAnsi="黑体" w:hint="eastAsia"/>
        </w:rPr>
      </w:pPr>
      <w:r w:rsidRPr="00E277C7">
        <w:rPr>
          <w:rFonts w:hAnsi="黑体" w:hint="eastAsia"/>
        </w:rPr>
        <w:t>提高城市管理数据共享与融通应用实效，推动城市人、地、事、物、情、组织等多维</w:t>
      </w:r>
      <w:proofErr w:type="gramStart"/>
      <w:r w:rsidRPr="00E277C7">
        <w:rPr>
          <w:rFonts w:hAnsi="黑体" w:hint="eastAsia"/>
        </w:rPr>
        <w:t>度数据</w:t>
      </w:r>
      <w:proofErr w:type="gramEnd"/>
      <w:r w:rsidRPr="00E277C7">
        <w:rPr>
          <w:rFonts w:hAnsi="黑体" w:hint="eastAsia"/>
        </w:rPr>
        <w:t>融通，在公共卫生、交通管理、公共安全、生态环境、基层治理、体育赛事等领域场景投入应用，基于数据融通、业务协同等实现具体领域或城市综合管理</w:t>
      </w:r>
      <w:r w:rsidRPr="00E277C7">
        <w:rPr>
          <w:rFonts w:hAnsi="黑体" w:hint="eastAsia"/>
        </w:rPr>
        <w:lastRenderedPageBreak/>
        <w:t>的态势实时感知、风险智能</w:t>
      </w:r>
      <w:proofErr w:type="gramStart"/>
      <w:r w:rsidRPr="00E277C7">
        <w:rPr>
          <w:rFonts w:hAnsi="黑体" w:hint="eastAsia"/>
        </w:rPr>
        <w:t>研</w:t>
      </w:r>
      <w:proofErr w:type="gramEnd"/>
      <w:r w:rsidRPr="00E277C7">
        <w:rPr>
          <w:rFonts w:hAnsi="黑体" w:hint="eastAsia"/>
        </w:rPr>
        <w:t>判、及时协同处置，优化城市管理方式。</w:t>
      </w:r>
    </w:p>
    <w:p w14:paraId="77880E53"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二、提高城市发展决策科学性</w:t>
      </w:r>
    </w:p>
    <w:p w14:paraId="795D7A9D" w14:textId="6FB65AFF" w:rsidR="00E277C7" w:rsidRPr="00E277C7" w:rsidRDefault="00E277C7" w:rsidP="00E277C7">
      <w:pPr>
        <w:ind w:firstLine="640"/>
        <w:rPr>
          <w:rFonts w:hAnsi="黑体" w:hint="eastAsia"/>
        </w:rPr>
      </w:pPr>
      <w:r w:rsidRPr="00E277C7">
        <w:rPr>
          <w:rFonts w:hAnsi="黑体" w:hint="eastAsia"/>
        </w:rPr>
        <w:t>综合利用城市时空基础、资源调查、规划管控、工程建设项目、物联网感知等数据，开展综合分析与</w:t>
      </w:r>
      <w:proofErr w:type="gramStart"/>
      <w:r w:rsidRPr="00E277C7">
        <w:rPr>
          <w:rFonts w:hAnsi="黑体" w:hint="eastAsia"/>
        </w:rPr>
        <w:t>研</w:t>
      </w:r>
      <w:proofErr w:type="gramEnd"/>
      <w:r w:rsidRPr="00E277C7">
        <w:rPr>
          <w:rFonts w:hAnsi="黑体" w:hint="eastAsia"/>
        </w:rPr>
        <w:t>判，助力城市规划、建设、管理、服务等策略精细化、智能化，为城市发展关键事项决策提供基于数据的科学支撑。</w:t>
      </w:r>
    </w:p>
    <w:p w14:paraId="1235D113"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三、提高公共服务普惠性</w:t>
      </w:r>
    </w:p>
    <w:p w14:paraId="22EC106A" w14:textId="43D9B837" w:rsidR="00E277C7" w:rsidRPr="00E277C7" w:rsidRDefault="00E277C7" w:rsidP="00E277C7">
      <w:pPr>
        <w:ind w:firstLine="640"/>
        <w:rPr>
          <w:rFonts w:hAnsi="黑体" w:hint="eastAsia"/>
        </w:rPr>
      </w:pPr>
      <w:r w:rsidRPr="00E277C7">
        <w:rPr>
          <w:rFonts w:hAnsi="黑体" w:hint="eastAsia"/>
        </w:rPr>
        <w:t>体现数据要素在深入推动就业、社保、健康、卫生、医疗、救助、养老、助残、托育等公共服务实现便捷化、普惠化和智能化过程中的放大、叠加、倍增作用，切实满足人民群众对高质量公共服务的迫切需求，体现基于数据要素的公共服务新应用、新产品、新模式，及其创造出的显著的经济与社会效益。</w:t>
      </w:r>
    </w:p>
    <w:p w14:paraId="553E842E"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四、强化区域协同治理</w:t>
      </w:r>
    </w:p>
    <w:p w14:paraId="2080D74B" w14:textId="7E43AF73" w:rsidR="00E277C7" w:rsidRPr="00E277C7" w:rsidRDefault="00E277C7" w:rsidP="00E277C7">
      <w:pPr>
        <w:ind w:firstLine="640"/>
        <w:rPr>
          <w:rFonts w:hAnsi="黑体" w:hint="eastAsia"/>
        </w:rPr>
      </w:pPr>
      <w:r w:rsidRPr="00E277C7">
        <w:rPr>
          <w:rFonts w:hAnsi="黑体" w:hint="eastAsia"/>
        </w:rPr>
        <w:t>围绕企业经营主体注册登记、异地就医结算、养老保险互转等服务事项开展跨</w:t>
      </w:r>
      <w:proofErr w:type="gramStart"/>
      <w:r w:rsidRPr="00E277C7">
        <w:rPr>
          <w:rFonts w:hAnsi="黑体" w:hint="eastAsia"/>
        </w:rPr>
        <w:t>城通办中</w:t>
      </w:r>
      <w:proofErr w:type="gramEnd"/>
      <w:r w:rsidRPr="00E277C7">
        <w:rPr>
          <w:rFonts w:hAnsi="黑体" w:hint="eastAsia"/>
        </w:rPr>
        <w:t>存在的难点、痛点问题，发挥数据要素的融合赋能作用，以数据流畅通跨</w:t>
      </w:r>
      <w:proofErr w:type="gramStart"/>
      <w:r w:rsidRPr="00E277C7">
        <w:rPr>
          <w:rFonts w:hAnsi="黑体" w:hint="eastAsia"/>
        </w:rPr>
        <w:t>城治理</w:t>
      </w:r>
      <w:proofErr w:type="gramEnd"/>
      <w:r w:rsidRPr="00E277C7">
        <w:rPr>
          <w:rFonts w:hAnsi="黑体" w:hint="eastAsia"/>
        </w:rPr>
        <w:t>藩篱，体现跨</w:t>
      </w:r>
      <w:proofErr w:type="gramStart"/>
      <w:r w:rsidRPr="00E277C7">
        <w:rPr>
          <w:rFonts w:hAnsi="黑体" w:hint="eastAsia"/>
        </w:rPr>
        <w:t>城治理</w:t>
      </w:r>
      <w:proofErr w:type="gramEnd"/>
      <w:r w:rsidRPr="00E277C7">
        <w:rPr>
          <w:rFonts w:hAnsi="黑体" w:hint="eastAsia"/>
        </w:rPr>
        <w:t>新技术、新产品、新服务、新应用及新商业模式，实现社会效益的最大化。</w:t>
      </w:r>
    </w:p>
    <w:p w14:paraId="709330D3" w14:textId="77777777" w:rsidR="00E277C7" w:rsidRPr="00E277C7" w:rsidRDefault="00E277C7" w:rsidP="003B4E1A">
      <w:pPr>
        <w:ind w:firstLine="640"/>
        <w:outlineLvl w:val="1"/>
        <w:rPr>
          <w:rFonts w:ascii="黑体" w:eastAsia="黑体" w:hAnsi="黑体" w:hint="eastAsia"/>
        </w:rPr>
      </w:pPr>
      <w:r w:rsidRPr="00E277C7">
        <w:rPr>
          <w:rFonts w:ascii="黑体" w:eastAsia="黑体" w:hAnsi="黑体" w:hint="eastAsia"/>
        </w:rPr>
        <w:t>赛道十二：数据要素×绿色低碳领域赛题指南</w:t>
      </w:r>
    </w:p>
    <w:p w14:paraId="59C4F48E"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一、优化生态环境治理服务</w:t>
      </w:r>
    </w:p>
    <w:p w14:paraId="7BE7813D" w14:textId="1E9EB7FB" w:rsidR="00E277C7" w:rsidRPr="00E277C7" w:rsidRDefault="00E277C7" w:rsidP="00E277C7">
      <w:pPr>
        <w:ind w:firstLine="640"/>
        <w:rPr>
          <w:rFonts w:hAnsi="黑体" w:hint="eastAsia"/>
        </w:rPr>
      </w:pPr>
      <w:r w:rsidRPr="00E277C7">
        <w:rPr>
          <w:rFonts w:hAnsi="黑体" w:hint="eastAsia"/>
        </w:rPr>
        <w:lastRenderedPageBreak/>
        <w:t>面向气象和水文耦合预报、受灾分析、河湖岸线监测、突发</w:t>
      </w:r>
      <w:proofErr w:type="gramStart"/>
      <w:r w:rsidRPr="00E277C7">
        <w:rPr>
          <w:rFonts w:hAnsi="黑体" w:hint="eastAsia"/>
        </w:rPr>
        <w:t>水事件</w:t>
      </w:r>
      <w:proofErr w:type="gramEnd"/>
      <w:r w:rsidRPr="00E277C7">
        <w:rPr>
          <w:rFonts w:hAnsi="黑体" w:hint="eastAsia"/>
        </w:rPr>
        <w:t>应急处置、重污染天气应对、城市水环境精细化管理、环境风险评估环境污染责任保险设计和绿色信贷等领域现实需求，通过对生态环境及气象、水利、交通、电力等相关领域数据资源的融合创新应用，支撑生态环境精准化治理服务。</w:t>
      </w:r>
    </w:p>
    <w:p w14:paraId="7B55FFDC"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二、促进用能效率提升</w:t>
      </w:r>
    </w:p>
    <w:p w14:paraId="17E5F020" w14:textId="39CB8D1B" w:rsidR="00E277C7" w:rsidRPr="00E277C7" w:rsidRDefault="00E277C7" w:rsidP="00E277C7">
      <w:pPr>
        <w:ind w:firstLine="640"/>
        <w:rPr>
          <w:rFonts w:hAnsi="黑体" w:hint="eastAsia"/>
        </w:rPr>
      </w:pPr>
      <w:r w:rsidRPr="00E277C7">
        <w:rPr>
          <w:rFonts w:hAnsi="黑体" w:hint="eastAsia"/>
        </w:rPr>
        <w:t>强化工业生产过程中订单、排产、用电等制造、能源数据的融合创新应用，打造能耗预测、多能互补、梯度定价等创新场景，支撑生产用能效率提升。</w:t>
      </w:r>
    </w:p>
    <w:p w14:paraId="6B39BD56"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三、促进资源循环利用</w:t>
      </w:r>
    </w:p>
    <w:p w14:paraId="7C2B7DA1" w14:textId="495D6414" w:rsidR="00E277C7" w:rsidRPr="00E277C7" w:rsidRDefault="00E277C7" w:rsidP="00E277C7">
      <w:pPr>
        <w:ind w:firstLine="640"/>
        <w:rPr>
          <w:rFonts w:hAnsi="黑体" w:hint="eastAsia"/>
        </w:rPr>
      </w:pPr>
      <w:r w:rsidRPr="00E277C7">
        <w:rPr>
          <w:rFonts w:hAnsi="黑体" w:hint="eastAsia"/>
        </w:rPr>
        <w:t>强化对固体废物收集、转移、利用、处置等各环节数据资源的融合创新应用，提升产废、运输、资源化利用各环节效率，促进固废、</w:t>
      </w:r>
      <w:proofErr w:type="gramStart"/>
      <w:r w:rsidRPr="00E277C7">
        <w:rPr>
          <w:rFonts w:hAnsi="黑体" w:hint="eastAsia"/>
        </w:rPr>
        <w:t>危废资源化</w:t>
      </w:r>
      <w:proofErr w:type="gramEnd"/>
      <w:r w:rsidRPr="00E277C7">
        <w:rPr>
          <w:rFonts w:hAnsi="黑体" w:hint="eastAsia"/>
        </w:rPr>
        <w:t>利用。</w:t>
      </w:r>
    </w:p>
    <w:p w14:paraId="2B7F9109" w14:textId="77777777" w:rsidR="00E277C7" w:rsidRPr="00E277C7" w:rsidRDefault="00E277C7" w:rsidP="00E277C7">
      <w:pPr>
        <w:ind w:firstLine="640"/>
        <w:rPr>
          <w:rFonts w:ascii="黑体" w:eastAsia="黑体" w:hAnsi="黑体" w:hint="eastAsia"/>
        </w:rPr>
      </w:pPr>
      <w:r w:rsidRPr="00E277C7">
        <w:rPr>
          <w:rFonts w:ascii="黑体" w:eastAsia="黑体" w:hAnsi="黑体" w:hint="eastAsia"/>
        </w:rPr>
        <w:t>四、促进生产减</w:t>
      </w:r>
      <w:proofErr w:type="gramStart"/>
      <w:r w:rsidRPr="00E277C7">
        <w:rPr>
          <w:rFonts w:ascii="黑体" w:eastAsia="黑体" w:hAnsi="黑体" w:hint="eastAsia"/>
        </w:rPr>
        <w:t>排降碳</w:t>
      </w:r>
      <w:proofErr w:type="gramEnd"/>
    </w:p>
    <w:p w14:paraId="4D9D51D2" w14:textId="70FFAFB2" w:rsidR="00E277C7" w:rsidRPr="00E277C7" w:rsidRDefault="00E277C7" w:rsidP="00E277C7">
      <w:pPr>
        <w:ind w:firstLine="640"/>
        <w:rPr>
          <w:rFonts w:hAnsi="黑体" w:hint="eastAsia"/>
        </w:rPr>
      </w:pPr>
      <w:r w:rsidRPr="00E277C7">
        <w:rPr>
          <w:rFonts w:hAnsi="黑体" w:hint="eastAsia"/>
        </w:rPr>
        <w:t>通过对行业或产品碳排放数据监测、统计、核算，开展产品碳足迹测算与评价，服务行业、企业、生产过程减</w:t>
      </w:r>
      <w:proofErr w:type="gramStart"/>
      <w:r w:rsidRPr="00E277C7">
        <w:rPr>
          <w:rFonts w:hAnsi="黑体" w:hint="eastAsia"/>
        </w:rPr>
        <w:t>排降碳</w:t>
      </w:r>
      <w:proofErr w:type="gramEnd"/>
      <w:r w:rsidRPr="00E277C7">
        <w:rPr>
          <w:rFonts w:hAnsi="黑体" w:hint="eastAsia"/>
        </w:rPr>
        <w:t>，提升碳排放管理水平。</w:t>
      </w:r>
    </w:p>
    <w:p w14:paraId="06741C94" w14:textId="77777777" w:rsidR="00E277C7" w:rsidRPr="00E277C7" w:rsidRDefault="00E277C7" w:rsidP="003B4E1A">
      <w:pPr>
        <w:ind w:firstLine="640"/>
        <w:outlineLvl w:val="1"/>
        <w:rPr>
          <w:rFonts w:ascii="黑体" w:eastAsia="黑体" w:hAnsi="黑体" w:hint="eastAsia"/>
        </w:rPr>
      </w:pPr>
      <w:r w:rsidRPr="00E277C7">
        <w:rPr>
          <w:rFonts w:ascii="黑体" w:eastAsia="黑体" w:hAnsi="黑体" w:hint="eastAsia"/>
        </w:rPr>
        <w:t>赛道十三：创新赛道</w:t>
      </w:r>
    </w:p>
    <w:p w14:paraId="3AF45A2A" w14:textId="3E23B249" w:rsidR="00156F1E" w:rsidRDefault="00E277C7" w:rsidP="00890CC8">
      <w:pPr>
        <w:ind w:firstLine="640"/>
        <w:rPr>
          <w:rFonts w:hint="eastAsia"/>
        </w:rPr>
      </w:pPr>
      <w:r w:rsidRPr="00E277C7">
        <w:rPr>
          <w:rFonts w:hAnsi="黑体" w:hint="eastAsia"/>
        </w:rPr>
        <w:t>本赛道为开放性赛道，重点挖掘与公共数据、企业数据等各类型数据开发利用有关具有原创性、颠覆性的新技术、新产品、新模式、新场景等均可参与本赛道，本赛道评价指标将结合项目进行针对性调整。</w:t>
      </w:r>
    </w:p>
    <w:sectPr w:rsidR="00156F1E" w:rsidSect="00890CC8">
      <w:headerReference w:type="even" r:id="rId8"/>
      <w:headerReference w:type="default" r:id="rId9"/>
      <w:footerReference w:type="even" r:id="rId10"/>
      <w:footerReference w:type="default" r:id="rId11"/>
      <w:headerReference w:type="first" r:id="rId12"/>
      <w:footerReference w:type="first" r:id="rId13"/>
      <w:pgSz w:w="11906" w:h="16838"/>
      <w:pgMar w:top="1985" w:right="1474" w:bottom="1985" w:left="1588" w:header="851" w:footer="992" w:gutter="0"/>
      <w:pgNumType w:start="1"/>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05DCA" w14:textId="77777777" w:rsidR="00EB49DB" w:rsidRDefault="00EB49DB" w:rsidP="00DE131D">
      <w:pPr>
        <w:spacing w:line="240" w:lineRule="auto"/>
        <w:ind w:firstLine="640"/>
        <w:rPr>
          <w:rFonts w:hint="eastAsia"/>
        </w:rPr>
      </w:pPr>
      <w:r>
        <w:separator/>
      </w:r>
    </w:p>
  </w:endnote>
  <w:endnote w:type="continuationSeparator" w:id="0">
    <w:p w14:paraId="4658D950" w14:textId="77777777" w:rsidR="00EB49DB" w:rsidRDefault="00EB49DB" w:rsidP="00DE131D">
      <w:pPr>
        <w:spacing w:line="240" w:lineRule="auto"/>
        <w:ind w:firstLine="64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60C3B" w14:textId="426C2B32" w:rsidR="00DE131D" w:rsidRPr="002929E7" w:rsidRDefault="00890CC8" w:rsidP="002929E7">
    <w:pPr>
      <w:pStyle w:val="af2"/>
      <w:ind w:leftChars="100" w:left="320" w:firstLineChars="0" w:firstLine="0"/>
      <w:rPr>
        <w:rFonts w:ascii="宋体" w:eastAsia="宋体" w:hAnsi="宋体" w:hint="eastAsia"/>
        <w:sz w:val="28"/>
        <w:szCs w:val="28"/>
      </w:rPr>
    </w:pPr>
    <w:sdt>
      <w:sdtPr>
        <w:id w:val="-1762680059"/>
        <w:docPartObj>
          <w:docPartGallery w:val="AutoText"/>
        </w:docPartObj>
      </w:sdtPr>
      <w:sdtEndPr>
        <w:rPr>
          <w:rFonts w:ascii="宋体" w:eastAsia="宋体" w:hAnsi="宋体"/>
          <w:sz w:val="28"/>
          <w:szCs w:val="28"/>
        </w:rPr>
      </w:sdtEndPr>
      <w:sdtContent>
        <w:r w:rsidR="002929E7" w:rsidRPr="002929E7">
          <w:rPr>
            <w:rFonts w:ascii="宋体" w:eastAsia="宋体" w:hAnsi="宋体" w:hint="eastAsia"/>
            <w:sz w:val="28"/>
            <w:szCs w:val="28"/>
          </w:rPr>
          <w:t xml:space="preserve">— </w:t>
        </w:r>
        <w:r w:rsidR="002929E7" w:rsidRPr="002929E7">
          <w:rPr>
            <w:rFonts w:ascii="宋体" w:eastAsia="宋体" w:hAnsi="宋体"/>
            <w:sz w:val="28"/>
            <w:szCs w:val="28"/>
          </w:rPr>
          <w:fldChar w:fldCharType="begin"/>
        </w:r>
        <w:r w:rsidR="002929E7" w:rsidRPr="002929E7">
          <w:rPr>
            <w:rFonts w:ascii="宋体" w:eastAsia="宋体" w:hAnsi="宋体"/>
            <w:sz w:val="28"/>
            <w:szCs w:val="28"/>
          </w:rPr>
          <w:instrText>PAGE   \* MERGEFORMAT</w:instrText>
        </w:r>
        <w:r w:rsidR="002929E7" w:rsidRPr="002929E7">
          <w:rPr>
            <w:rFonts w:ascii="宋体" w:eastAsia="宋体" w:hAnsi="宋体"/>
            <w:sz w:val="28"/>
            <w:szCs w:val="28"/>
          </w:rPr>
          <w:fldChar w:fldCharType="separate"/>
        </w:r>
        <w:r w:rsidR="002929E7">
          <w:rPr>
            <w:rFonts w:ascii="宋体" w:hAnsi="宋体" w:hint="eastAsia"/>
            <w:sz w:val="28"/>
            <w:szCs w:val="28"/>
          </w:rPr>
          <w:t>3</w:t>
        </w:r>
        <w:r w:rsidR="002929E7" w:rsidRPr="002929E7">
          <w:rPr>
            <w:rFonts w:ascii="宋体" w:eastAsia="宋体" w:hAnsi="宋体"/>
            <w:sz w:val="28"/>
            <w:szCs w:val="28"/>
          </w:rPr>
          <w:fldChar w:fldCharType="end"/>
        </w:r>
        <w:r w:rsidR="002929E7" w:rsidRPr="002929E7">
          <w:rPr>
            <w:rFonts w:ascii="宋体" w:eastAsia="宋体" w:hAnsi="宋体" w:hint="eastAsia"/>
            <w:sz w:val="28"/>
            <w:szCs w:val="28"/>
          </w:rPr>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F158D" w14:textId="36B8F2A0" w:rsidR="00DE131D" w:rsidRPr="002929E7" w:rsidRDefault="00890CC8" w:rsidP="002929E7">
    <w:pPr>
      <w:pStyle w:val="af2"/>
      <w:wordWrap w:val="0"/>
      <w:ind w:leftChars="100" w:left="320" w:firstLineChars="0" w:firstLine="0"/>
      <w:jc w:val="right"/>
      <w:rPr>
        <w:rFonts w:ascii="宋体" w:eastAsia="宋体" w:hAnsi="宋体" w:hint="eastAsia"/>
        <w:sz w:val="28"/>
        <w:szCs w:val="28"/>
      </w:rPr>
    </w:pPr>
    <w:sdt>
      <w:sdtPr>
        <w:id w:val="-2006431252"/>
        <w:docPartObj>
          <w:docPartGallery w:val="AutoText"/>
        </w:docPartObj>
      </w:sdtPr>
      <w:sdtEndPr>
        <w:rPr>
          <w:rFonts w:ascii="宋体" w:eastAsia="宋体" w:hAnsi="宋体"/>
          <w:sz w:val="28"/>
          <w:szCs w:val="28"/>
        </w:rPr>
      </w:sdtEndPr>
      <w:sdtContent>
        <w:r w:rsidR="002929E7" w:rsidRPr="002929E7">
          <w:rPr>
            <w:rFonts w:ascii="宋体" w:eastAsia="宋体" w:hAnsi="宋体" w:hint="eastAsia"/>
            <w:sz w:val="28"/>
            <w:szCs w:val="28"/>
          </w:rPr>
          <w:t xml:space="preserve">— </w:t>
        </w:r>
        <w:r w:rsidR="002929E7" w:rsidRPr="002929E7">
          <w:rPr>
            <w:rFonts w:ascii="宋体" w:eastAsia="宋体" w:hAnsi="宋体"/>
            <w:sz w:val="28"/>
            <w:szCs w:val="28"/>
          </w:rPr>
          <w:fldChar w:fldCharType="begin"/>
        </w:r>
        <w:r w:rsidR="002929E7" w:rsidRPr="002929E7">
          <w:rPr>
            <w:rFonts w:ascii="宋体" w:eastAsia="宋体" w:hAnsi="宋体"/>
            <w:sz w:val="28"/>
            <w:szCs w:val="28"/>
          </w:rPr>
          <w:instrText>PAGE   \* MERGEFORMAT</w:instrText>
        </w:r>
        <w:r w:rsidR="002929E7" w:rsidRPr="002929E7">
          <w:rPr>
            <w:rFonts w:ascii="宋体" w:eastAsia="宋体" w:hAnsi="宋体"/>
            <w:sz w:val="28"/>
            <w:szCs w:val="28"/>
          </w:rPr>
          <w:fldChar w:fldCharType="separate"/>
        </w:r>
        <w:r w:rsidR="002929E7" w:rsidRPr="002929E7">
          <w:rPr>
            <w:rFonts w:ascii="宋体" w:eastAsia="宋体" w:hAnsi="宋体" w:hint="eastAsia"/>
            <w:sz w:val="28"/>
            <w:szCs w:val="28"/>
          </w:rPr>
          <w:t>2</w:t>
        </w:r>
        <w:r w:rsidR="002929E7" w:rsidRPr="002929E7">
          <w:rPr>
            <w:rFonts w:ascii="宋体" w:eastAsia="宋体" w:hAnsi="宋体"/>
            <w:sz w:val="28"/>
            <w:szCs w:val="28"/>
          </w:rPr>
          <w:fldChar w:fldCharType="end"/>
        </w:r>
        <w:r w:rsidR="002929E7" w:rsidRPr="002929E7">
          <w:rPr>
            <w:rFonts w:ascii="宋体" w:eastAsia="宋体" w:hAnsi="宋体" w:hint="eastAsia"/>
            <w:sz w:val="28"/>
            <w:szCs w:val="28"/>
          </w:rPr>
          <w:t xml:space="preserve"> —</w:t>
        </w:r>
      </w:sdtContent>
    </w:sdt>
    <w:r w:rsidR="002929E7">
      <w:rPr>
        <w:rFonts w:ascii="宋体" w:eastAsia="宋体" w:hAnsi="宋体" w:hint="eastAsia"/>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788A" w14:textId="6DBCDBE7" w:rsidR="00DE131D" w:rsidRDefault="00DE131D" w:rsidP="00DE131D">
    <w:pPr>
      <w:pStyle w:val="af2"/>
      <w:spacing w:line="240" w:lineRule="auto"/>
      <w:ind w:firstLine="360"/>
      <w:rPr>
        <w:rFonts w:hint="eastAsia"/>
      </w:rPr>
    </w:pPr>
    <w:r>
      <w:rPr>
        <w:rFonts w:hint="eastAsia"/>
        <w:noProof/>
      </w:rPr>
      <w:drawing>
        <wp:anchor distT="0" distB="0" distL="114300" distR="114300" simplePos="0" relativeHeight="251657216" behindDoc="0" locked="0" layoutInCell="1" allowOverlap="1" wp14:anchorId="16E4B7AC" wp14:editId="0F2E25E5">
          <wp:simplePos x="0" y="0"/>
          <wp:positionH relativeFrom="column">
            <wp:posOffset>-260829</wp:posOffset>
          </wp:positionH>
          <wp:positionV relativeFrom="paragraph">
            <wp:posOffset>-200553</wp:posOffset>
          </wp:positionV>
          <wp:extent cx="6139180" cy="60960"/>
          <wp:effectExtent l="0" t="0" r="0" b="0"/>
          <wp:wrapNone/>
          <wp:docPr id="3396587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39180" cy="6096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0858C" w14:textId="77777777" w:rsidR="00EB49DB" w:rsidRDefault="00EB49DB" w:rsidP="00DE131D">
      <w:pPr>
        <w:spacing w:line="240" w:lineRule="auto"/>
        <w:ind w:firstLine="640"/>
        <w:rPr>
          <w:rFonts w:hint="eastAsia"/>
        </w:rPr>
      </w:pPr>
      <w:r>
        <w:separator/>
      </w:r>
    </w:p>
  </w:footnote>
  <w:footnote w:type="continuationSeparator" w:id="0">
    <w:p w14:paraId="68271FFD" w14:textId="77777777" w:rsidR="00EB49DB" w:rsidRDefault="00EB49DB" w:rsidP="00DE131D">
      <w:pPr>
        <w:spacing w:line="240" w:lineRule="auto"/>
        <w:ind w:firstLine="64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FB2D5" w14:textId="77777777" w:rsidR="00DE131D" w:rsidRDefault="00DE131D">
    <w:pPr>
      <w:pStyle w:val="af0"/>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2C62B" w14:textId="77777777" w:rsidR="00DE131D" w:rsidRDefault="00DE131D">
    <w:pPr>
      <w:pStyle w:val="af0"/>
      <w:ind w:firstLine="36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D98E1" w14:textId="77777777" w:rsidR="00DE131D" w:rsidRDefault="00DE131D">
    <w:pPr>
      <w:pStyle w:val="af0"/>
      <w:ind w:firstLine="36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27653"/>
    <w:multiLevelType w:val="multilevel"/>
    <w:tmpl w:val="40905D0C"/>
    <w:lvl w:ilvl="0">
      <w:start w:val="1"/>
      <w:numFmt w:val="japaneseCounting"/>
      <w:lvlText w:val="%1、"/>
      <w:lvlJc w:val="left"/>
      <w:pPr>
        <w:ind w:left="1360" w:hanging="720"/>
      </w:pPr>
      <w:rPr>
        <w:rFonts w:ascii="Times New Roman" w:hAnsi="Times New Roman" w:cs="Times New Roman" w:hint="default"/>
      </w:rPr>
    </w:lvl>
    <w:lvl w:ilvl="1">
      <w:start w:val="1"/>
      <w:numFmt w:val="lowerLetter"/>
      <w:lvlText w:val="%2)"/>
      <w:lvlJc w:val="left"/>
      <w:pPr>
        <w:ind w:left="1520" w:hanging="440"/>
      </w:pPr>
      <w:rPr>
        <w:rFonts w:ascii="Times New Roman" w:hAnsi="Times New Roman" w:cs="Times New Roman" w:hint="default"/>
      </w:rPr>
    </w:lvl>
    <w:lvl w:ilvl="2">
      <w:start w:val="1"/>
      <w:numFmt w:val="lowerRoman"/>
      <w:lvlText w:val="%3."/>
      <w:lvlJc w:val="right"/>
      <w:pPr>
        <w:ind w:left="1960" w:hanging="440"/>
      </w:pPr>
      <w:rPr>
        <w:rFonts w:ascii="Times New Roman" w:hAnsi="Times New Roman" w:cs="Times New Roman" w:hint="default"/>
      </w:rPr>
    </w:lvl>
    <w:lvl w:ilvl="3">
      <w:start w:val="1"/>
      <w:numFmt w:val="decimal"/>
      <w:lvlText w:val="%4."/>
      <w:lvlJc w:val="left"/>
      <w:pPr>
        <w:ind w:left="2400" w:hanging="440"/>
      </w:pPr>
      <w:rPr>
        <w:rFonts w:ascii="Times New Roman" w:hAnsi="Times New Roman" w:cs="Times New Roman" w:hint="default"/>
      </w:rPr>
    </w:lvl>
    <w:lvl w:ilvl="4">
      <w:start w:val="1"/>
      <w:numFmt w:val="lowerLetter"/>
      <w:lvlText w:val="%5)"/>
      <w:lvlJc w:val="left"/>
      <w:pPr>
        <w:ind w:left="2840" w:hanging="440"/>
      </w:pPr>
      <w:rPr>
        <w:rFonts w:ascii="Times New Roman" w:hAnsi="Times New Roman" w:cs="Times New Roman" w:hint="default"/>
      </w:rPr>
    </w:lvl>
    <w:lvl w:ilvl="5">
      <w:start w:val="1"/>
      <w:numFmt w:val="lowerRoman"/>
      <w:lvlText w:val="%6."/>
      <w:lvlJc w:val="right"/>
      <w:pPr>
        <w:ind w:left="3280" w:hanging="440"/>
      </w:pPr>
      <w:rPr>
        <w:rFonts w:ascii="Times New Roman" w:hAnsi="Times New Roman" w:cs="Times New Roman" w:hint="default"/>
      </w:rPr>
    </w:lvl>
    <w:lvl w:ilvl="6">
      <w:start w:val="1"/>
      <w:numFmt w:val="decimal"/>
      <w:lvlText w:val="%7."/>
      <w:lvlJc w:val="left"/>
      <w:pPr>
        <w:ind w:left="3720" w:hanging="440"/>
      </w:pPr>
      <w:rPr>
        <w:rFonts w:ascii="Times New Roman" w:hAnsi="Times New Roman" w:cs="Times New Roman" w:hint="default"/>
      </w:rPr>
    </w:lvl>
    <w:lvl w:ilvl="7">
      <w:start w:val="1"/>
      <w:numFmt w:val="lowerLetter"/>
      <w:lvlText w:val="%8)"/>
      <w:lvlJc w:val="left"/>
      <w:pPr>
        <w:ind w:left="4160" w:hanging="440"/>
      </w:pPr>
      <w:rPr>
        <w:rFonts w:ascii="Times New Roman" w:hAnsi="Times New Roman" w:cs="Times New Roman" w:hint="default"/>
      </w:rPr>
    </w:lvl>
    <w:lvl w:ilvl="8">
      <w:start w:val="1"/>
      <w:numFmt w:val="lowerRoman"/>
      <w:lvlText w:val="%9."/>
      <w:lvlJc w:val="right"/>
      <w:pPr>
        <w:ind w:left="4600" w:hanging="440"/>
      </w:pPr>
      <w:rPr>
        <w:rFonts w:ascii="Times New Roman" w:hAnsi="Times New Roman" w:cs="Times New Roman" w:hint="default"/>
      </w:rPr>
    </w:lvl>
  </w:abstractNum>
  <w:abstractNum w:abstractNumId="1" w15:restartNumberingAfterBreak="0">
    <w:nsid w:val="17961879"/>
    <w:multiLevelType w:val="multilevel"/>
    <w:tmpl w:val="3906E44C"/>
    <w:lvl w:ilvl="0">
      <w:start w:val="1"/>
      <w:numFmt w:val="chineseCountingThousand"/>
      <w:suff w:val="nothing"/>
      <w:lvlText w:val="%1、"/>
      <w:lvlJc w:val="left"/>
      <w:pPr>
        <w:ind w:left="1360" w:hanging="720"/>
      </w:pPr>
      <w:rPr>
        <w:rFonts w:hint="eastAsia"/>
      </w:rPr>
    </w:lvl>
    <w:lvl w:ilvl="1">
      <w:start w:val="1"/>
      <w:numFmt w:val="lowerLetter"/>
      <w:lvlText w:val="%2)"/>
      <w:lvlJc w:val="left"/>
      <w:pPr>
        <w:ind w:left="1520" w:hanging="440"/>
      </w:pPr>
      <w:rPr>
        <w:rFonts w:ascii="Times New Roman" w:hAnsi="Times New Roman" w:cs="Times New Roman" w:hint="default"/>
      </w:rPr>
    </w:lvl>
    <w:lvl w:ilvl="2">
      <w:start w:val="1"/>
      <w:numFmt w:val="lowerRoman"/>
      <w:lvlText w:val="%3."/>
      <w:lvlJc w:val="right"/>
      <w:pPr>
        <w:ind w:left="1960" w:hanging="440"/>
      </w:pPr>
      <w:rPr>
        <w:rFonts w:ascii="Times New Roman" w:hAnsi="Times New Roman" w:cs="Times New Roman" w:hint="default"/>
      </w:rPr>
    </w:lvl>
    <w:lvl w:ilvl="3">
      <w:start w:val="1"/>
      <w:numFmt w:val="decimal"/>
      <w:lvlText w:val="%4."/>
      <w:lvlJc w:val="left"/>
      <w:pPr>
        <w:ind w:left="2400" w:hanging="440"/>
      </w:pPr>
      <w:rPr>
        <w:rFonts w:ascii="Times New Roman" w:hAnsi="Times New Roman" w:cs="Times New Roman" w:hint="default"/>
      </w:rPr>
    </w:lvl>
    <w:lvl w:ilvl="4">
      <w:start w:val="1"/>
      <w:numFmt w:val="lowerLetter"/>
      <w:lvlText w:val="%5)"/>
      <w:lvlJc w:val="left"/>
      <w:pPr>
        <w:ind w:left="2840" w:hanging="440"/>
      </w:pPr>
      <w:rPr>
        <w:rFonts w:ascii="Times New Roman" w:hAnsi="Times New Roman" w:cs="Times New Roman" w:hint="default"/>
      </w:rPr>
    </w:lvl>
    <w:lvl w:ilvl="5">
      <w:start w:val="1"/>
      <w:numFmt w:val="lowerRoman"/>
      <w:lvlText w:val="%6."/>
      <w:lvlJc w:val="right"/>
      <w:pPr>
        <w:ind w:left="3280" w:hanging="440"/>
      </w:pPr>
      <w:rPr>
        <w:rFonts w:ascii="Times New Roman" w:hAnsi="Times New Roman" w:cs="Times New Roman" w:hint="default"/>
      </w:rPr>
    </w:lvl>
    <w:lvl w:ilvl="6">
      <w:start w:val="1"/>
      <w:numFmt w:val="decimal"/>
      <w:lvlText w:val="%7."/>
      <w:lvlJc w:val="left"/>
      <w:pPr>
        <w:ind w:left="3720" w:hanging="440"/>
      </w:pPr>
      <w:rPr>
        <w:rFonts w:ascii="Times New Roman" w:hAnsi="Times New Roman" w:cs="Times New Roman" w:hint="default"/>
      </w:rPr>
    </w:lvl>
    <w:lvl w:ilvl="7">
      <w:start w:val="1"/>
      <w:numFmt w:val="lowerLetter"/>
      <w:lvlText w:val="%8)"/>
      <w:lvlJc w:val="left"/>
      <w:pPr>
        <w:ind w:left="4160" w:hanging="440"/>
      </w:pPr>
      <w:rPr>
        <w:rFonts w:ascii="Times New Roman" w:hAnsi="Times New Roman" w:cs="Times New Roman" w:hint="default"/>
      </w:rPr>
    </w:lvl>
    <w:lvl w:ilvl="8">
      <w:start w:val="1"/>
      <w:numFmt w:val="lowerRoman"/>
      <w:lvlText w:val="%9."/>
      <w:lvlJc w:val="right"/>
      <w:pPr>
        <w:ind w:left="4600" w:hanging="440"/>
      </w:pPr>
      <w:rPr>
        <w:rFonts w:ascii="Times New Roman" w:hAnsi="Times New Roman" w:cs="Times New Roman" w:hint="default"/>
      </w:rPr>
    </w:lvl>
  </w:abstractNum>
  <w:num w:numId="1" w16cid:durableId="7630389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9295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bordersDoNotSurroundHeader/>
  <w:bordersDoNotSurroundFooter/>
  <w:proofState w:spelling="clean" w:grammar="clean"/>
  <w:defaultTabStop w:val="420"/>
  <w:evenAndOddHeaders/>
  <w:drawingGridHorizontalSpacing w:val="160"/>
  <w:drawingGridVerticalSpacing w:val="435"/>
  <w:displayHorizontalDrawingGridEvery w:val="2"/>
  <w:characterSpacingControl w:val="doNotCompress"/>
  <w:hdrShapeDefaults>
    <o:shapedefaults v:ext="edit" spidmax="2057"/>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F310F"/>
    <w:rsid w:val="000143DF"/>
    <w:rsid w:val="00024BDA"/>
    <w:rsid w:val="00156F1E"/>
    <w:rsid w:val="001842EC"/>
    <w:rsid w:val="0024252E"/>
    <w:rsid w:val="00290636"/>
    <w:rsid w:val="002929E7"/>
    <w:rsid w:val="003B48C0"/>
    <w:rsid w:val="003B4E1A"/>
    <w:rsid w:val="003F310F"/>
    <w:rsid w:val="003F4763"/>
    <w:rsid w:val="00400086"/>
    <w:rsid w:val="0043103D"/>
    <w:rsid w:val="004E7590"/>
    <w:rsid w:val="00542504"/>
    <w:rsid w:val="005D7EA5"/>
    <w:rsid w:val="005E5F10"/>
    <w:rsid w:val="005F17A5"/>
    <w:rsid w:val="00600B8F"/>
    <w:rsid w:val="00601157"/>
    <w:rsid w:val="00601291"/>
    <w:rsid w:val="00604BA0"/>
    <w:rsid w:val="00624298"/>
    <w:rsid w:val="006B352E"/>
    <w:rsid w:val="006B6ADC"/>
    <w:rsid w:val="00706277"/>
    <w:rsid w:val="007550F9"/>
    <w:rsid w:val="007C316C"/>
    <w:rsid w:val="00890CC8"/>
    <w:rsid w:val="008C190C"/>
    <w:rsid w:val="008E5EC0"/>
    <w:rsid w:val="009B307B"/>
    <w:rsid w:val="009C7884"/>
    <w:rsid w:val="009D1220"/>
    <w:rsid w:val="00A022CA"/>
    <w:rsid w:val="00A02FE1"/>
    <w:rsid w:val="00A11EDA"/>
    <w:rsid w:val="00A57996"/>
    <w:rsid w:val="00AF34A5"/>
    <w:rsid w:val="00B664EF"/>
    <w:rsid w:val="00BB586E"/>
    <w:rsid w:val="00BB72EE"/>
    <w:rsid w:val="00BC38A6"/>
    <w:rsid w:val="00C263AF"/>
    <w:rsid w:val="00C27F8A"/>
    <w:rsid w:val="00C66D2E"/>
    <w:rsid w:val="00C94521"/>
    <w:rsid w:val="00CD3C5A"/>
    <w:rsid w:val="00D56612"/>
    <w:rsid w:val="00D70C2A"/>
    <w:rsid w:val="00DD4C58"/>
    <w:rsid w:val="00DE131D"/>
    <w:rsid w:val="00DE401A"/>
    <w:rsid w:val="00DF0275"/>
    <w:rsid w:val="00DF0AA4"/>
    <w:rsid w:val="00E277C7"/>
    <w:rsid w:val="00E450A9"/>
    <w:rsid w:val="00E577B1"/>
    <w:rsid w:val="00E66938"/>
    <w:rsid w:val="00EB49DB"/>
    <w:rsid w:val="00ED5C76"/>
    <w:rsid w:val="00EF5BDA"/>
    <w:rsid w:val="00F94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5F131B6D"/>
  <w15:chartTrackingRefBased/>
  <w15:docId w15:val="{6F53D2C9-3B48-479E-A54C-44176F6CD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仿宋_GB2312" w:eastAsia="仿宋_GB2312" w:hAnsiTheme="minorHAnsi" w:cstheme="minorBidi"/>
        <w:kern w:val="2"/>
        <w:sz w:val="32"/>
        <w:szCs w:val="22"/>
        <w:lang w:val="en-US" w:eastAsia="zh-CN" w:bidi="ar-SA"/>
        <w14:ligatures w14:val="standardContextual"/>
      </w:rPr>
    </w:rPrDefault>
    <w:pPrDefault>
      <w:pPr>
        <w:spacing w:line="560" w:lineRule="exact"/>
        <w:ind w:firstLineChars="200" w:firstLine="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5EC0"/>
  </w:style>
  <w:style w:type="paragraph" w:styleId="1">
    <w:name w:val="heading 1"/>
    <w:basedOn w:val="a"/>
    <w:next w:val="a"/>
    <w:link w:val="10"/>
    <w:uiPriority w:val="9"/>
    <w:qFormat/>
    <w:rsid w:val="003F310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3F310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F310F"/>
    <w:pPr>
      <w:keepNext/>
      <w:keepLines/>
      <w:spacing w:before="160" w:after="80"/>
      <w:outlineLvl w:val="2"/>
    </w:pPr>
    <w:rPr>
      <w:rFonts w:asciiTheme="majorHAnsi" w:eastAsiaTheme="majorEastAsia" w:hAnsiTheme="majorHAnsi" w:cstheme="majorBidi"/>
      <w:color w:val="2F5496" w:themeColor="accent1" w:themeShade="BF"/>
      <w:szCs w:val="32"/>
    </w:rPr>
  </w:style>
  <w:style w:type="paragraph" w:styleId="4">
    <w:name w:val="heading 4"/>
    <w:basedOn w:val="a"/>
    <w:next w:val="a"/>
    <w:link w:val="40"/>
    <w:uiPriority w:val="9"/>
    <w:semiHidden/>
    <w:unhideWhenUsed/>
    <w:qFormat/>
    <w:rsid w:val="003F310F"/>
    <w:pPr>
      <w:keepNext/>
      <w:keepLines/>
      <w:spacing w:before="80" w:after="40"/>
      <w:outlineLvl w:val="3"/>
    </w:pPr>
    <w:rPr>
      <w:rFonts w:asciiTheme="minorHAnsi" w:eastAsiaTheme="minorEastAsia" w:cstheme="majorBidi"/>
      <w:color w:val="2F5496" w:themeColor="accent1" w:themeShade="BF"/>
      <w:sz w:val="28"/>
      <w:szCs w:val="28"/>
    </w:rPr>
  </w:style>
  <w:style w:type="paragraph" w:styleId="5">
    <w:name w:val="heading 5"/>
    <w:basedOn w:val="a"/>
    <w:next w:val="a"/>
    <w:link w:val="50"/>
    <w:uiPriority w:val="9"/>
    <w:semiHidden/>
    <w:unhideWhenUsed/>
    <w:qFormat/>
    <w:rsid w:val="003F310F"/>
    <w:pPr>
      <w:keepNext/>
      <w:keepLines/>
      <w:spacing w:before="80" w:after="40"/>
      <w:outlineLvl w:val="4"/>
    </w:pPr>
    <w:rPr>
      <w:rFonts w:asciiTheme="minorHAnsi" w:eastAsiaTheme="minorEastAsia" w:cstheme="majorBidi"/>
      <w:color w:val="2F5496" w:themeColor="accent1" w:themeShade="BF"/>
      <w:sz w:val="24"/>
      <w:szCs w:val="24"/>
    </w:rPr>
  </w:style>
  <w:style w:type="paragraph" w:styleId="6">
    <w:name w:val="heading 6"/>
    <w:basedOn w:val="a"/>
    <w:next w:val="a"/>
    <w:link w:val="60"/>
    <w:uiPriority w:val="9"/>
    <w:semiHidden/>
    <w:unhideWhenUsed/>
    <w:qFormat/>
    <w:rsid w:val="003F310F"/>
    <w:pPr>
      <w:keepNext/>
      <w:keepLines/>
      <w:spacing w:before="40"/>
      <w:outlineLvl w:val="5"/>
    </w:pPr>
    <w:rPr>
      <w:rFonts w:asciiTheme="minorHAnsi" w:eastAsiaTheme="minorEastAsia" w:cstheme="majorBidi"/>
      <w:b/>
      <w:bCs/>
      <w:color w:val="2F5496" w:themeColor="accent1" w:themeShade="BF"/>
    </w:rPr>
  </w:style>
  <w:style w:type="paragraph" w:styleId="7">
    <w:name w:val="heading 7"/>
    <w:basedOn w:val="a"/>
    <w:next w:val="a"/>
    <w:link w:val="70"/>
    <w:uiPriority w:val="9"/>
    <w:semiHidden/>
    <w:unhideWhenUsed/>
    <w:qFormat/>
    <w:rsid w:val="003F310F"/>
    <w:pPr>
      <w:keepNext/>
      <w:keepLines/>
      <w:spacing w:before="40"/>
      <w:outlineLvl w:val="6"/>
    </w:pPr>
    <w:rPr>
      <w:rFonts w:asciiTheme="minorHAnsi" w:eastAsiaTheme="minorEastAsia" w:cstheme="majorBidi"/>
      <w:b/>
      <w:bCs/>
      <w:color w:val="595959" w:themeColor="text1" w:themeTint="A6"/>
    </w:rPr>
  </w:style>
  <w:style w:type="paragraph" w:styleId="8">
    <w:name w:val="heading 8"/>
    <w:basedOn w:val="a"/>
    <w:next w:val="a"/>
    <w:link w:val="80"/>
    <w:uiPriority w:val="9"/>
    <w:semiHidden/>
    <w:unhideWhenUsed/>
    <w:qFormat/>
    <w:rsid w:val="003F310F"/>
    <w:pPr>
      <w:keepNext/>
      <w:keepLines/>
      <w:outlineLvl w:val="7"/>
    </w:pPr>
    <w:rPr>
      <w:rFonts w:asciiTheme="minorHAnsi" w:eastAsiaTheme="minorEastAsia" w:cstheme="majorBidi"/>
      <w:color w:val="595959" w:themeColor="text1" w:themeTint="A6"/>
    </w:rPr>
  </w:style>
  <w:style w:type="paragraph" w:styleId="9">
    <w:name w:val="heading 9"/>
    <w:basedOn w:val="a"/>
    <w:next w:val="a"/>
    <w:link w:val="90"/>
    <w:uiPriority w:val="9"/>
    <w:semiHidden/>
    <w:unhideWhenUsed/>
    <w:qFormat/>
    <w:rsid w:val="003F310F"/>
    <w:pPr>
      <w:keepNext/>
      <w:keepLines/>
      <w:outlineLvl w:val="8"/>
    </w:pPr>
    <w:rPr>
      <w:rFonts w:asciiTheme="minorHAnsi"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F310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3F310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F310F"/>
    <w:rPr>
      <w:rFonts w:asciiTheme="majorHAnsi" w:eastAsiaTheme="majorEastAsia" w:hAnsiTheme="majorHAnsi" w:cstheme="majorBidi"/>
      <w:color w:val="2F5496" w:themeColor="accent1" w:themeShade="BF"/>
      <w:szCs w:val="32"/>
    </w:rPr>
  </w:style>
  <w:style w:type="character" w:customStyle="1" w:styleId="40">
    <w:name w:val="标题 4 字符"/>
    <w:basedOn w:val="a0"/>
    <w:link w:val="4"/>
    <w:uiPriority w:val="9"/>
    <w:semiHidden/>
    <w:rsid w:val="003F310F"/>
    <w:rPr>
      <w:rFonts w:asciiTheme="minorHAnsi" w:eastAsiaTheme="minorEastAsia" w:cstheme="majorBidi"/>
      <w:color w:val="2F5496" w:themeColor="accent1" w:themeShade="BF"/>
      <w:sz w:val="28"/>
      <w:szCs w:val="28"/>
    </w:rPr>
  </w:style>
  <w:style w:type="character" w:customStyle="1" w:styleId="50">
    <w:name w:val="标题 5 字符"/>
    <w:basedOn w:val="a0"/>
    <w:link w:val="5"/>
    <w:uiPriority w:val="9"/>
    <w:semiHidden/>
    <w:rsid w:val="003F310F"/>
    <w:rPr>
      <w:rFonts w:asciiTheme="minorHAnsi" w:eastAsiaTheme="minorEastAsia" w:cstheme="majorBidi"/>
      <w:color w:val="2F5496" w:themeColor="accent1" w:themeShade="BF"/>
      <w:sz w:val="24"/>
      <w:szCs w:val="24"/>
    </w:rPr>
  </w:style>
  <w:style w:type="character" w:customStyle="1" w:styleId="60">
    <w:name w:val="标题 6 字符"/>
    <w:basedOn w:val="a0"/>
    <w:link w:val="6"/>
    <w:uiPriority w:val="9"/>
    <w:semiHidden/>
    <w:rsid w:val="003F310F"/>
    <w:rPr>
      <w:rFonts w:asciiTheme="minorHAnsi" w:eastAsiaTheme="minorEastAsia" w:cstheme="majorBidi"/>
      <w:b/>
      <w:bCs/>
      <w:color w:val="2F5496" w:themeColor="accent1" w:themeShade="BF"/>
    </w:rPr>
  </w:style>
  <w:style w:type="character" w:customStyle="1" w:styleId="70">
    <w:name w:val="标题 7 字符"/>
    <w:basedOn w:val="a0"/>
    <w:link w:val="7"/>
    <w:uiPriority w:val="9"/>
    <w:semiHidden/>
    <w:rsid w:val="003F310F"/>
    <w:rPr>
      <w:rFonts w:asciiTheme="minorHAnsi" w:eastAsiaTheme="minorEastAsia" w:cstheme="majorBidi"/>
      <w:b/>
      <w:bCs/>
      <w:color w:val="595959" w:themeColor="text1" w:themeTint="A6"/>
    </w:rPr>
  </w:style>
  <w:style w:type="character" w:customStyle="1" w:styleId="80">
    <w:name w:val="标题 8 字符"/>
    <w:basedOn w:val="a0"/>
    <w:link w:val="8"/>
    <w:uiPriority w:val="9"/>
    <w:semiHidden/>
    <w:rsid w:val="003F310F"/>
    <w:rPr>
      <w:rFonts w:asciiTheme="minorHAnsi" w:eastAsiaTheme="minorEastAsia" w:cstheme="majorBidi"/>
      <w:color w:val="595959" w:themeColor="text1" w:themeTint="A6"/>
    </w:rPr>
  </w:style>
  <w:style w:type="character" w:customStyle="1" w:styleId="90">
    <w:name w:val="标题 9 字符"/>
    <w:basedOn w:val="a0"/>
    <w:link w:val="9"/>
    <w:uiPriority w:val="9"/>
    <w:semiHidden/>
    <w:rsid w:val="003F310F"/>
    <w:rPr>
      <w:rFonts w:asciiTheme="minorHAnsi" w:eastAsiaTheme="majorEastAsia" w:cstheme="majorBidi"/>
      <w:color w:val="595959" w:themeColor="text1" w:themeTint="A6"/>
    </w:rPr>
  </w:style>
  <w:style w:type="paragraph" w:styleId="a3">
    <w:name w:val="Title"/>
    <w:basedOn w:val="a"/>
    <w:next w:val="a"/>
    <w:link w:val="a4"/>
    <w:uiPriority w:val="10"/>
    <w:qFormat/>
    <w:rsid w:val="003F310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F310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F310F"/>
    <w:pPr>
      <w:numPr>
        <w:ilvl w:val="1"/>
      </w:numPr>
      <w:spacing w:after="160"/>
      <w:ind w:firstLineChars="200" w:firstLine="20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F310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F310F"/>
    <w:pPr>
      <w:spacing w:before="160" w:after="160"/>
      <w:jc w:val="center"/>
    </w:pPr>
    <w:rPr>
      <w:i/>
      <w:iCs/>
      <w:color w:val="404040" w:themeColor="text1" w:themeTint="BF"/>
    </w:rPr>
  </w:style>
  <w:style w:type="character" w:customStyle="1" w:styleId="a8">
    <w:name w:val="引用 字符"/>
    <w:basedOn w:val="a0"/>
    <w:link w:val="a7"/>
    <w:uiPriority w:val="29"/>
    <w:rsid w:val="003F310F"/>
    <w:rPr>
      <w:i/>
      <w:iCs/>
      <w:color w:val="404040" w:themeColor="text1" w:themeTint="BF"/>
    </w:rPr>
  </w:style>
  <w:style w:type="paragraph" w:styleId="a9">
    <w:name w:val="List Paragraph"/>
    <w:basedOn w:val="a"/>
    <w:uiPriority w:val="34"/>
    <w:qFormat/>
    <w:rsid w:val="003F310F"/>
    <w:pPr>
      <w:ind w:left="720"/>
      <w:contextualSpacing/>
    </w:pPr>
  </w:style>
  <w:style w:type="character" w:styleId="aa">
    <w:name w:val="Intense Emphasis"/>
    <w:basedOn w:val="a0"/>
    <w:uiPriority w:val="21"/>
    <w:qFormat/>
    <w:rsid w:val="003F310F"/>
    <w:rPr>
      <w:i/>
      <w:iCs/>
      <w:color w:val="2F5496" w:themeColor="accent1" w:themeShade="BF"/>
    </w:rPr>
  </w:style>
  <w:style w:type="paragraph" w:styleId="ab">
    <w:name w:val="Intense Quote"/>
    <w:basedOn w:val="a"/>
    <w:next w:val="a"/>
    <w:link w:val="ac"/>
    <w:uiPriority w:val="30"/>
    <w:qFormat/>
    <w:rsid w:val="003F31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3F310F"/>
    <w:rPr>
      <w:i/>
      <w:iCs/>
      <w:color w:val="2F5496" w:themeColor="accent1" w:themeShade="BF"/>
    </w:rPr>
  </w:style>
  <w:style w:type="character" w:styleId="ad">
    <w:name w:val="Intense Reference"/>
    <w:basedOn w:val="a0"/>
    <w:uiPriority w:val="32"/>
    <w:qFormat/>
    <w:rsid w:val="003F310F"/>
    <w:rPr>
      <w:b/>
      <w:bCs/>
      <w:smallCaps/>
      <w:color w:val="2F5496" w:themeColor="accent1" w:themeShade="BF"/>
      <w:spacing w:val="5"/>
    </w:rPr>
  </w:style>
  <w:style w:type="table" w:styleId="ae">
    <w:name w:val="Table Grid"/>
    <w:basedOn w:val="a1"/>
    <w:uiPriority w:val="39"/>
    <w:rsid w:val="00BB72E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624298"/>
    <w:rPr>
      <w:color w:val="666666"/>
    </w:rPr>
  </w:style>
  <w:style w:type="paragraph" w:styleId="af0">
    <w:name w:val="header"/>
    <w:basedOn w:val="a"/>
    <w:link w:val="af1"/>
    <w:uiPriority w:val="99"/>
    <w:unhideWhenUsed/>
    <w:rsid w:val="00DE131D"/>
    <w:pPr>
      <w:tabs>
        <w:tab w:val="center" w:pos="4153"/>
        <w:tab w:val="right" w:pos="8306"/>
      </w:tabs>
      <w:snapToGrid w:val="0"/>
      <w:spacing w:line="240" w:lineRule="atLeast"/>
      <w:jc w:val="center"/>
    </w:pPr>
    <w:rPr>
      <w:sz w:val="18"/>
      <w:szCs w:val="18"/>
    </w:rPr>
  </w:style>
  <w:style w:type="character" w:customStyle="1" w:styleId="af1">
    <w:name w:val="页眉 字符"/>
    <w:basedOn w:val="a0"/>
    <w:link w:val="af0"/>
    <w:uiPriority w:val="99"/>
    <w:rsid w:val="00DE131D"/>
    <w:rPr>
      <w:sz w:val="18"/>
      <w:szCs w:val="18"/>
    </w:rPr>
  </w:style>
  <w:style w:type="paragraph" w:styleId="af2">
    <w:name w:val="footer"/>
    <w:basedOn w:val="a"/>
    <w:link w:val="af3"/>
    <w:uiPriority w:val="99"/>
    <w:unhideWhenUsed/>
    <w:rsid w:val="00DE131D"/>
    <w:pPr>
      <w:tabs>
        <w:tab w:val="center" w:pos="4153"/>
        <w:tab w:val="right" w:pos="8306"/>
      </w:tabs>
      <w:snapToGrid w:val="0"/>
      <w:spacing w:line="240" w:lineRule="atLeast"/>
      <w:jc w:val="left"/>
    </w:pPr>
    <w:rPr>
      <w:sz w:val="18"/>
      <w:szCs w:val="18"/>
    </w:rPr>
  </w:style>
  <w:style w:type="character" w:customStyle="1" w:styleId="af3">
    <w:name w:val="页脚 字符"/>
    <w:basedOn w:val="a0"/>
    <w:link w:val="af2"/>
    <w:uiPriority w:val="99"/>
    <w:rsid w:val="00DE131D"/>
    <w:rPr>
      <w:sz w:val="18"/>
      <w:szCs w:val="18"/>
    </w:rPr>
  </w:style>
  <w:style w:type="paragraph" w:styleId="af4">
    <w:name w:val="Date"/>
    <w:basedOn w:val="a"/>
    <w:next w:val="a"/>
    <w:link w:val="af5"/>
    <w:uiPriority w:val="99"/>
    <w:semiHidden/>
    <w:unhideWhenUsed/>
    <w:rsid w:val="008E5EC0"/>
    <w:pPr>
      <w:ind w:leftChars="2500" w:left="100"/>
    </w:pPr>
  </w:style>
  <w:style w:type="character" w:customStyle="1" w:styleId="af5">
    <w:name w:val="日期 字符"/>
    <w:basedOn w:val="a0"/>
    <w:link w:val="af4"/>
    <w:uiPriority w:val="99"/>
    <w:semiHidden/>
    <w:rsid w:val="008E5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0471">
      <w:bodyDiv w:val="1"/>
      <w:marLeft w:val="0"/>
      <w:marRight w:val="0"/>
      <w:marTop w:val="0"/>
      <w:marBottom w:val="0"/>
      <w:divBdr>
        <w:top w:val="none" w:sz="0" w:space="0" w:color="auto"/>
        <w:left w:val="none" w:sz="0" w:space="0" w:color="auto"/>
        <w:bottom w:val="none" w:sz="0" w:space="0" w:color="auto"/>
        <w:right w:val="none" w:sz="0" w:space="0" w:color="auto"/>
      </w:divBdr>
    </w:div>
    <w:div w:id="962273820">
      <w:bodyDiv w:val="1"/>
      <w:marLeft w:val="0"/>
      <w:marRight w:val="0"/>
      <w:marTop w:val="0"/>
      <w:marBottom w:val="0"/>
      <w:divBdr>
        <w:top w:val="none" w:sz="0" w:space="0" w:color="auto"/>
        <w:left w:val="none" w:sz="0" w:space="0" w:color="auto"/>
        <w:bottom w:val="none" w:sz="0" w:space="0" w:color="auto"/>
        <w:right w:val="none" w:sz="0" w:space="0" w:color="auto"/>
      </w:divBdr>
    </w:div>
    <w:div w:id="1103766987">
      <w:bodyDiv w:val="1"/>
      <w:marLeft w:val="0"/>
      <w:marRight w:val="0"/>
      <w:marTop w:val="0"/>
      <w:marBottom w:val="0"/>
      <w:divBdr>
        <w:top w:val="none" w:sz="0" w:space="0" w:color="auto"/>
        <w:left w:val="none" w:sz="0" w:space="0" w:color="auto"/>
        <w:bottom w:val="none" w:sz="0" w:space="0" w:color="auto"/>
        <w:right w:val="none" w:sz="0" w:space="0" w:color="auto"/>
      </w:divBdr>
      <w:divsChild>
        <w:div w:id="1535850979">
          <w:marLeft w:val="0"/>
          <w:marRight w:val="0"/>
          <w:marTop w:val="0"/>
          <w:marBottom w:val="0"/>
          <w:divBdr>
            <w:top w:val="none" w:sz="0" w:space="0" w:color="auto"/>
            <w:left w:val="none" w:sz="0" w:space="0" w:color="auto"/>
            <w:bottom w:val="none" w:sz="0" w:space="0" w:color="auto"/>
            <w:right w:val="none" w:sz="0" w:space="0" w:color="auto"/>
          </w:divBdr>
        </w:div>
        <w:div w:id="1624464245">
          <w:marLeft w:val="0"/>
          <w:marRight w:val="0"/>
          <w:marTop w:val="0"/>
          <w:marBottom w:val="0"/>
          <w:divBdr>
            <w:top w:val="none" w:sz="0" w:space="0" w:color="auto"/>
            <w:left w:val="none" w:sz="0" w:space="0" w:color="auto"/>
            <w:bottom w:val="none" w:sz="0" w:space="0" w:color="auto"/>
            <w:right w:val="none" w:sz="0" w:space="0" w:color="auto"/>
          </w:divBdr>
        </w:div>
        <w:div w:id="795566118">
          <w:marLeft w:val="0"/>
          <w:marRight w:val="0"/>
          <w:marTop w:val="0"/>
          <w:marBottom w:val="0"/>
          <w:divBdr>
            <w:top w:val="none" w:sz="0" w:space="0" w:color="auto"/>
            <w:left w:val="none" w:sz="0" w:space="0" w:color="auto"/>
            <w:bottom w:val="none" w:sz="0" w:space="0" w:color="auto"/>
            <w:right w:val="none" w:sz="0" w:space="0" w:color="auto"/>
          </w:divBdr>
        </w:div>
      </w:divsChild>
    </w:div>
    <w:div w:id="1240020138">
      <w:bodyDiv w:val="1"/>
      <w:marLeft w:val="0"/>
      <w:marRight w:val="0"/>
      <w:marTop w:val="0"/>
      <w:marBottom w:val="0"/>
      <w:divBdr>
        <w:top w:val="none" w:sz="0" w:space="0" w:color="auto"/>
        <w:left w:val="none" w:sz="0" w:space="0" w:color="auto"/>
        <w:bottom w:val="none" w:sz="0" w:space="0" w:color="auto"/>
        <w:right w:val="none" w:sz="0" w:space="0" w:color="auto"/>
      </w:divBdr>
    </w:div>
    <w:div w:id="1303735340">
      <w:bodyDiv w:val="1"/>
      <w:marLeft w:val="0"/>
      <w:marRight w:val="0"/>
      <w:marTop w:val="0"/>
      <w:marBottom w:val="0"/>
      <w:divBdr>
        <w:top w:val="none" w:sz="0" w:space="0" w:color="auto"/>
        <w:left w:val="none" w:sz="0" w:space="0" w:color="auto"/>
        <w:bottom w:val="none" w:sz="0" w:space="0" w:color="auto"/>
        <w:right w:val="none" w:sz="0" w:space="0" w:color="auto"/>
      </w:divBdr>
      <w:divsChild>
        <w:div w:id="1001543901">
          <w:marLeft w:val="0"/>
          <w:marRight w:val="0"/>
          <w:marTop w:val="0"/>
          <w:marBottom w:val="0"/>
          <w:divBdr>
            <w:top w:val="none" w:sz="0" w:space="0" w:color="auto"/>
            <w:left w:val="none" w:sz="0" w:space="0" w:color="auto"/>
            <w:bottom w:val="none" w:sz="0" w:space="0" w:color="auto"/>
            <w:right w:val="none" w:sz="0" w:space="0" w:color="auto"/>
          </w:divBdr>
        </w:div>
        <w:div w:id="747726560">
          <w:marLeft w:val="0"/>
          <w:marRight w:val="0"/>
          <w:marTop w:val="0"/>
          <w:marBottom w:val="0"/>
          <w:divBdr>
            <w:top w:val="none" w:sz="0" w:space="0" w:color="auto"/>
            <w:left w:val="none" w:sz="0" w:space="0" w:color="auto"/>
            <w:bottom w:val="none" w:sz="0" w:space="0" w:color="auto"/>
            <w:right w:val="none" w:sz="0" w:space="0" w:color="auto"/>
          </w:divBdr>
        </w:div>
        <w:div w:id="1367368470">
          <w:marLeft w:val="0"/>
          <w:marRight w:val="0"/>
          <w:marTop w:val="0"/>
          <w:marBottom w:val="0"/>
          <w:divBdr>
            <w:top w:val="none" w:sz="0" w:space="0" w:color="auto"/>
            <w:left w:val="none" w:sz="0" w:space="0" w:color="auto"/>
            <w:bottom w:val="none" w:sz="0" w:space="0" w:color="auto"/>
            <w:right w:val="none" w:sz="0" w:space="0" w:color="auto"/>
          </w:divBdr>
        </w:div>
      </w:divsChild>
    </w:div>
    <w:div w:id="1533347111">
      <w:bodyDiv w:val="1"/>
      <w:marLeft w:val="0"/>
      <w:marRight w:val="0"/>
      <w:marTop w:val="0"/>
      <w:marBottom w:val="0"/>
      <w:divBdr>
        <w:top w:val="none" w:sz="0" w:space="0" w:color="auto"/>
        <w:left w:val="none" w:sz="0" w:space="0" w:color="auto"/>
        <w:bottom w:val="none" w:sz="0" w:space="0" w:color="auto"/>
        <w:right w:val="none" w:sz="0" w:space="0" w:color="auto"/>
      </w:divBdr>
    </w:div>
    <w:div w:id="1950505718">
      <w:bodyDiv w:val="1"/>
      <w:marLeft w:val="0"/>
      <w:marRight w:val="0"/>
      <w:marTop w:val="0"/>
      <w:marBottom w:val="0"/>
      <w:divBdr>
        <w:top w:val="none" w:sz="0" w:space="0" w:color="auto"/>
        <w:left w:val="none" w:sz="0" w:space="0" w:color="auto"/>
        <w:bottom w:val="none" w:sz="0" w:space="0" w:color="auto"/>
        <w:right w:val="none" w:sz="0" w:space="0" w:color="auto"/>
      </w:divBdr>
    </w:div>
    <w:div w:id="1962035202">
      <w:bodyDiv w:val="1"/>
      <w:marLeft w:val="0"/>
      <w:marRight w:val="0"/>
      <w:marTop w:val="0"/>
      <w:marBottom w:val="0"/>
      <w:divBdr>
        <w:top w:val="none" w:sz="0" w:space="0" w:color="auto"/>
        <w:left w:val="none" w:sz="0" w:space="0" w:color="auto"/>
        <w:bottom w:val="none" w:sz="0" w:space="0" w:color="auto"/>
        <w:right w:val="none" w:sz="0" w:space="0" w:color="auto"/>
      </w:divBdr>
      <w:divsChild>
        <w:div w:id="2019770029">
          <w:marLeft w:val="0"/>
          <w:marRight w:val="0"/>
          <w:marTop w:val="0"/>
          <w:marBottom w:val="0"/>
          <w:divBdr>
            <w:top w:val="none" w:sz="0" w:space="0" w:color="auto"/>
            <w:left w:val="none" w:sz="0" w:space="0" w:color="auto"/>
            <w:bottom w:val="none" w:sz="0" w:space="0" w:color="auto"/>
            <w:right w:val="none" w:sz="0" w:space="0" w:color="auto"/>
          </w:divBdr>
        </w:div>
        <w:div w:id="496459316">
          <w:marLeft w:val="0"/>
          <w:marRight w:val="0"/>
          <w:marTop w:val="0"/>
          <w:marBottom w:val="0"/>
          <w:divBdr>
            <w:top w:val="none" w:sz="0" w:space="0" w:color="auto"/>
            <w:left w:val="none" w:sz="0" w:space="0" w:color="auto"/>
            <w:bottom w:val="none" w:sz="0" w:space="0" w:color="auto"/>
            <w:right w:val="none" w:sz="0" w:space="0" w:color="auto"/>
          </w:divBdr>
        </w:div>
        <w:div w:id="458761109">
          <w:marLeft w:val="0"/>
          <w:marRight w:val="0"/>
          <w:marTop w:val="0"/>
          <w:marBottom w:val="0"/>
          <w:divBdr>
            <w:top w:val="none" w:sz="0" w:space="0" w:color="auto"/>
            <w:left w:val="none" w:sz="0" w:space="0" w:color="auto"/>
            <w:bottom w:val="none" w:sz="0" w:space="0" w:color="auto"/>
            <w:right w:val="none" w:sz="0" w:space="0" w:color="auto"/>
          </w:divBdr>
        </w:div>
      </w:divsChild>
    </w:div>
    <w:div w:id="2039968300">
      <w:bodyDiv w:val="1"/>
      <w:marLeft w:val="0"/>
      <w:marRight w:val="0"/>
      <w:marTop w:val="0"/>
      <w:marBottom w:val="0"/>
      <w:divBdr>
        <w:top w:val="none" w:sz="0" w:space="0" w:color="auto"/>
        <w:left w:val="none" w:sz="0" w:space="0" w:color="auto"/>
        <w:bottom w:val="none" w:sz="0" w:space="0" w:color="auto"/>
        <w:right w:val="none" w:sz="0" w:space="0" w:color="auto"/>
      </w:divBdr>
      <w:divsChild>
        <w:div w:id="1441028458">
          <w:marLeft w:val="0"/>
          <w:marRight w:val="0"/>
          <w:marTop w:val="0"/>
          <w:marBottom w:val="0"/>
          <w:divBdr>
            <w:top w:val="none" w:sz="0" w:space="0" w:color="auto"/>
            <w:left w:val="none" w:sz="0" w:space="0" w:color="auto"/>
            <w:bottom w:val="none" w:sz="0" w:space="0" w:color="auto"/>
            <w:right w:val="none" w:sz="0" w:space="0" w:color="auto"/>
          </w:divBdr>
        </w:div>
        <w:div w:id="1328902563">
          <w:marLeft w:val="0"/>
          <w:marRight w:val="0"/>
          <w:marTop w:val="0"/>
          <w:marBottom w:val="0"/>
          <w:divBdr>
            <w:top w:val="none" w:sz="0" w:space="0" w:color="auto"/>
            <w:left w:val="none" w:sz="0" w:space="0" w:color="auto"/>
            <w:bottom w:val="none" w:sz="0" w:space="0" w:color="auto"/>
            <w:right w:val="none" w:sz="0" w:space="0" w:color="auto"/>
          </w:divBdr>
        </w:div>
        <w:div w:id="760488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F16D2-0FD1-4B73-9657-9FC5108A5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16</Pages>
  <Words>1182</Words>
  <Characters>6739</Characters>
  <Application>Microsoft Office Word</Application>
  <DocSecurity>0</DocSecurity>
  <Lines>56</Lines>
  <Paragraphs>15</Paragraphs>
  <ScaleCrop>false</ScaleCrop>
  <Company/>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yinzq</dc:creator>
  <cp:keywords/>
  <dc:description/>
  <cp:lastModifiedBy>. yinzq</cp:lastModifiedBy>
  <cp:revision>17</cp:revision>
  <cp:lastPrinted>2025-02-27T02:28:00Z</cp:lastPrinted>
  <dcterms:created xsi:type="dcterms:W3CDTF">2025-02-25T05:57:00Z</dcterms:created>
  <dcterms:modified xsi:type="dcterms:W3CDTF">2025-02-27T02:32:00Z</dcterms:modified>
</cp:coreProperties>
</file>